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1C" w:rsidRPr="0015201C" w:rsidRDefault="0015201C" w:rsidP="0015201C">
      <w:pPr>
        <w:spacing w:after="0" w:line="240" w:lineRule="auto"/>
        <w:rPr>
          <w:rFonts w:ascii="Arial Narrow" w:hAnsi="Arial Narrow"/>
          <w:b/>
          <w:sz w:val="28"/>
          <w:szCs w:val="28"/>
        </w:rPr>
      </w:pPr>
      <w:bookmarkStart w:id="0" w:name="_GoBack"/>
      <w:bookmarkEnd w:id="0"/>
      <w:r w:rsidRPr="0015201C">
        <w:rPr>
          <w:rFonts w:ascii="Arial Narrow" w:hAnsi="Arial Narrow"/>
          <w:b/>
          <w:noProof/>
          <w:sz w:val="28"/>
          <w:szCs w:val="28"/>
        </w:rPr>
        <w:drawing>
          <wp:anchor distT="0" distB="0" distL="114300" distR="114300" simplePos="0" relativeHeight="251659264" behindDoc="0" locked="0" layoutInCell="1" allowOverlap="1" wp14:anchorId="37E6D7E8" wp14:editId="2DF5AE7B">
            <wp:simplePos x="0" y="0"/>
            <wp:positionH relativeFrom="column">
              <wp:posOffset>4535805</wp:posOffset>
            </wp:positionH>
            <wp:positionV relativeFrom="paragraph">
              <wp:posOffset>31750</wp:posOffset>
            </wp:positionV>
            <wp:extent cx="1375410" cy="1257300"/>
            <wp:effectExtent l="0" t="0" r="0" b="0"/>
            <wp:wrapSquare wrapText="bothSides"/>
            <wp:docPr id="1" name="Picture 1" descr="belltell_BK&amp;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tell_BK&amp;W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541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01C">
        <w:rPr>
          <w:rFonts w:ascii="Arial Narrow" w:hAnsi="Arial Narrow"/>
          <w:b/>
          <w:sz w:val="28"/>
          <w:szCs w:val="28"/>
        </w:rPr>
        <w:t>From:</w:t>
      </w:r>
      <w:r w:rsidRPr="0015201C">
        <w:rPr>
          <w:rFonts w:ascii="Arial Narrow" w:hAnsi="Arial Narrow"/>
          <w:b/>
          <w:sz w:val="28"/>
          <w:szCs w:val="28"/>
        </w:rPr>
        <w:tab/>
        <w:t xml:space="preserve">Association of </w:t>
      </w:r>
      <w:proofErr w:type="spellStart"/>
      <w:r w:rsidRPr="0015201C">
        <w:rPr>
          <w:rFonts w:ascii="Arial Narrow" w:hAnsi="Arial Narrow"/>
          <w:b/>
          <w:sz w:val="28"/>
          <w:szCs w:val="28"/>
        </w:rPr>
        <w:t>BellTel</w:t>
      </w:r>
      <w:proofErr w:type="spellEnd"/>
      <w:r w:rsidRPr="0015201C">
        <w:rPr>
          <w:rFonts w:ascii="Arial Narrow" w:hAnsi="Arial Narrow"/>
          <w:b/>
          <w:sz w:val="28"/>
          <w:szCs w:val="28"/>
        </w:rPr>
        <w:t xml:space="preserve"> Retirees Inc.</w:t>
      </w:r>
      <w:r w:rsidRPr="0015201C">
        <w:rPr>
          <w:rFonts w:ascii="Arial Narrow" w:hAnsi="Arial Narrow"/>
          <w:b/>
          <w:sz w:val="28"/>
          <w:szCs w:val="28"/>
        </w:rPr>
        <w:tab/>
      </w:r>
      <w:r w:rsidRPr="0015201C">
        <w:rPr>
          <w:rFonts w:ascii="Arial Narrow" w:hAnsi="Arial Narrow"/>
          <w:b/>
          <w:sz w:val="28"/>
          <w:szCs w:val="28"/>
        </w:rPr>
        <w:tab/>
      </w:r>
      <w:r w:rsidRPr="0015201C">
        <w:rPr>
          <w:rFonts w:ascii="Arial Narrow" w:hAnsi="Arial Narrow"/>
          <w:b/>
          <w:sz w:val="28"/>
          <w:szCs w:val="28"/>
        </w:rPr>
        <w:tab/>
      </w:r>
    </w:p>
    <w:p w:rsidR="0015201C" w:rsidRPr="0015201C" w:rsidRDefault="0015201C" w:rsidP="0015201C">
      <w:pPr>
        <w:spacing w:after="0" w:line="240" w:lineRule="auto"/>
        <w:rPr>
          <w:rFonts w:ascii="Arial Narrow" w:hAnsi="Arial Narrow"/>
          <w:b/>
          <w:sz w:val="21"/>
          <w:szCs w:val="21"/>
        </w:rPr>
      </w:pPr>
    </w:p>
    <w:p w:rsidR="0015201C" w:rsidRPr="0015201C" w:rsidRDefault="0015201C" w:rsidP="0015201C">
      <w:pPr>
        <w:spacing w:after="0" w:line="240" w:lineRule="auto"/>
        <w:rPr>
          <w:rFonts w:ascii="Arial Narrow" w:hAnsi="Arial Narrow"/>
          <w:b/>
        </w:rPr>
      </w:pPr>
      <w:r w:rsidRPr="0015201C">
        <w:rPr>
          <w:rFonts w:ascii="Arial Narrow" w:hAnsi="Arial Narrow"/>
          <w:b/>
          <w:sz w:val="21"/>
          <w:szCs w:val="21"/>
        </w:rPr>
        <w:tab/>
      </w:r>
      <w:r w:rsidR="00AA0786">
        <w:rPr>
          <w:rFonts w:ascii="Arial Narrow" w:hAnsi="Arial Narrow"/>
          <w:b/>
        </w:rPr>
        <w:t>Butler Associates, Public Relations</w:t>
      </w:r>
      <w:r>
        <w:rPr>
          <w:rFonts w:ascii="Arial Narrow" w:hAnsi="Arial Narrow"/>
          <w:b/>
        </w:rPr>
        <w:t xml:space="preserve"> </w:t>
      </w:r>
    </w:p>
    <w:p w:rsidR="00F4487D" w:rsidRDefault="0015201C" w:rsidP="00AA0786">
      <w:pPr>
        <w:spacing w:after="0" w:line="240" w:lineRule="auto"/>
        <w:rPr>
          <w:rFonts w:ascii="Arial Narrow" w:hAnsi="Arial Narrow"/>
          <w:b/>
        </w:rPr>
      </w:pPr>
      <w:r w:rsidRPr="0015201C">
        <w:rPr>
          <w:rFonts w:ascii="Arial Narrow" w:hAnsi="Arial Narrow"/>
          <w:b/>
        </w:rPr>
        <w:tab/>
      </w:r>
    </w:p>
    <w:p w:rsidR="0015201C" w:rsidRPr="0015201C" w:rsidRDefault="0015201C" w:rsidP="0015201C">
      <w:pPr>
        <w:spacing w:after="0" w:line="240" w:lineRule="auto"/>
        <w:ind w:left="720"/>
        <w:rPr>
          <w:rFonts w:ascii="Arial Narrow" w:hAnsi="Arial Narrow"/>
          <w:b/>
        </w:rPr>
      </w:pPr>
      <w:r w:rsidRPr="0015201C">
        <w:rPr>
          <w:rFonts w:ascii="Arial Narrow" w:hAnsi="Arial Narrow"/>
          <w:b/>
        </w:rPr>
        <w:t xml:space="preserve">Media Contact:   </w:t>
      </w:r>
      <w:r w:rsidR="00AA0786">
        <w:rPr>
          <w:rFonts w:ascii="Arial Narrow" w:hAnsi="Arial Narrow"/>
          <w:b/>
        </w:rPr>
        <w:t>212-685-4600</w:t>
      </w:r>
    </w:p>
    <w:p w:rsidR="0015201C" w:rsidRPr="0015201C" w:rsidRDefault="00565875" w:rsidP="0015201C">
      <w:pPr>
        <w:spacing w:after="0" w:line="240" w:lineRule="auto"/>
        <w:ind w:left="720"/>
        <w:rPr>
          <w:rFonts w:ascii="Arial Narrow" w:hAnsi="Arial Narrow"/>
          <w:b/>
        </w:rPr>
      </w:pPr>
      <w:r>
        <w:rPr>
          <w:rFonts w:ascii="Arial Narrow" w:hAnsi="Arial Narrow"/>
          <w:b/>
        </w:rPr>
        <w:t>Tom Butler</w:t>
      </w:r>
      <w:r w:rsidR="00AA0786">
        <w:rPr>
          <w:rFonts w:ascii="Arial Narrow" w:hAnsi="Arial Narrow"/>
          <w:b/>
        </w:rPr>
        <w:t xml:space="preserve"> </w:t>
      </w:r>
      <w:r w:rsidR="0082293B">
        <w:rPr>
          <w:rFonts w:ascii="Arial Narrow" w:hAnsi="Arial Narrow"/>
          <w:b/>
        </w:rPr>
        <w:t>- 646-213-1802</w:t>
      </w:r>
      <w:r w:rsidR="0015201C">
        <w:rPr>
          <w:rFonts w:ascii="Arial Narrow" w:hAnsi="Arial Narrow"/>
          <w:b/>
        </w:rPr>
        <w:t xml:space="preserve"> </w:t>
      </w:r>
      <w:hyperlink r:id="rId7" w:history="1">
        <w:r w:rsidR="0015201C" w:rsidRPr="0015201C">
          <w:rPr>
            <w:rStyle w:val="Hyperlink"/>
            <w:rFonts w:ascii="Arial Narrow" w:hAnsi="Arial Narrow"/>
            <w:b/>
          </w:rPr>
          <w:t>TButler@Butlerassociates.com</w:t>
        </w:r>
      </w:hyperlink>
      <w:r w:rsidR="0015201C">
        <w:rPr>
          <w:rFonts w:ascii="Arial Narrow" w:hAnsi="Arial Narrow"/>
          <w:b/>
        </w:rPr>
        <w:t xml:space="preserve"> </w:t>
      </w:r>
    </w:p>
    <w:p w:rsidR="0015201C" w:rsidRDefault="00565875" w:rsidP="0082293B">
      <w:pPr>
        <w:spacing w:after="0" w:line="240" w:lineRule="auto"/>
        <w:ind w:left="720"/>
        <w:rPr>
          <w:rFonts w:ascii="Arial Narrow" w:hAnsi="Arial Narrow"/>
          <w:b/>
        </w:rPr>
      </w:pPr>
      <w:r>
        <w:rPr>
          <w:rFonts w:ascii="Arial Narrow" w:hAnsi="Arial Narrow"/>
          <w:b/>
        </w:rPr>
        <w:t xml:space="preserve">Victoria Carman </w:t>
      </w:r>
      <w:r w:rsidR="0082293B">
        <w:rPr>
          <w:rFonts w:ascii="Arial Narrow" w:hAnsi="Arial Narrow"/>
          <w:b/>
        </w:rPr>
        <w:t xml:space="preserve">646-205-7627 </w:t>
      </w:r>
      <w:hyperlink r:id="rId8" w:history="1">
        <w:r w:rsidR="0015201C" w:rsidRPr="00B95E11">
          <w:rPr>
            <w:rStyle w:val="Hyperlink"/>
            <w:rFonts w:ascii="Arial Narrow" w:hAnsi="Arial Narrow"/>
            <w:b/>
          </w:rPr>
          <w:t>VCarman@Butlerassociates.com</w:t>
        </w:r>
      </w:hyperlink>
    </w:p>
    <w:p w:rsidR="0015201C" w:rsidRDefault="0082293B" w:rsidP="0015201C">
      <w:pPr>
        <w:pBdr>
          <w:bottom w:val="single" w:sz="12" w:space="1" w:color="auto"/>
        </w:pBdr>
        <w:spacing w:after="0" w:line="240" w:lineRule="auto"/>
        <w:ind w:left="720"/>
        <w:rPr>
          <w:rFonts w:ascii="Arial Narrow" w:hAnsi="Arial Narrow"/>
          <w:b/>
        </w:rPr>
      </w:pPr>
      <w:r>
        <w:rPr>
          <w:rFonts w:ascii="Arial Narrow" w:hAnsi="Arial Narrow"/>
          <w:b/>
        </w:rPr>
        <w:t>Kaylyn Alexander 646-213-1366</w:t>
      </w:r>
      <w:r w:rsidR="0015201C">
        <w:rPr>
          <w:rFonts w:ascii="Arial Narrow" w:hAnsi="Arial Narrow"/>
          <w:b/>
        </w:rPr>
        <w:t xml:space="preserve"> </w:t>
      </w:r>
      <w:hyperlink r:id="rId9" w:history="1">
        <w:r w:rsidR="0015201C" w:rsidRPr="00B95E11">
          <w:rPr>
            <w:rStyle w:val="Hyperlink"/>
            <w:rFonts w:ascii="Arial Narrow" w:hAnsi="Arial Narrow"/>
            <w:b/>
          </w:rPr>
          <w:t>KAlexander@Butlerassociates.com</w:t>
        </w:r>
      </w:hyperlink>
      <w:r w:rsidR="0015201C">
        <w:rPr>
          <w:rFonts w:ascii="Arial Narrow" w:hAnsi="Arial Narrow"/>
          <w:b/>
        </w:rPr>
        <w:t xml:space="preserve"> </w:t>
      </w:r>
    </w:p>
    <w:p w:rsidR="00554146" w:rsidRDefault="00554146" w:rsidP="005A6463">
      <w:pPr>
        <w:rPr>
          <w:b/>
        </w:rPr>
      </w:pPr>
      <w:r>
        <w:rPr>
          <w:b/>
        </w:rPr>
        <w:t>For Immediate Release:</w:t>
      </w:r>
    </w:p>
    <w:p w:rsidR="0082293B" w:rsidRPr="0082293B" w:rsidRDefault="002C4D0A" w:rsidP="0082293B">
      <w:pPr>
        <w:spacing w:after="0" w:line="240" w:lineRule="auto"/>
        <w:jc w:val="center"/>
        <w:rPr>
          <w:b/>
          <w:sz w:val="36"/>
          <w:szCs w:val="36"/>
        </w:rPr>
      </w:pPr>
      <w:r w:rsidRPr="0082293B">
        <w:rPr>
          <w:b/>
          <w:sz w:val="36"/>
          <w:szCs w:val="36"/>
        </w:rPr>
        <w:t>Federal Appeals C</w:t>
      </w:r>
      <w:r w:rsidR="002424B1" w:rsidRPr="0082293B">
        <w:rPr>
          <w:b/>
          <w:sz w:val="36"/>
          <w:szCs w:val="36"/>
        </w:rPr>
        <w:t xml:space="preserve">ourt </w:t>
      </w:r>
      <w:r w:rsidRPr="0082293B">
        <w:rPr>
          <w:b/>
          <w:sz w:val="36"/>
          <w:szCs w:val="36"/>
        </w:rPr>
        <w:t>H</w:t>
      </w:r>
      <w:r w:rsidR="005A6463" w:rsidRPr="0082293B">
        <w:rPr>
          <w:b/>
          <w:sz w:val="36"/>
          <w:szCs w:val="36"/>
        </w:rPr>
        <w:t>ear</w:t>
      </w:r>
      <w:r w:rsidRPr="0082293B">
        <w:rPr>
          <w:b/>
          <w:sz w:val="36"/>
          <w:szCs w:val="36"/>
        </w:rPr>
        <w:t>s</w:t>
      </w:r>
      <w:r w:rsidR="005A6463" w:rsidRPr="0082293B">
        <w:rPr>
          <w:b/>
          <w:sz w:val="36"/>
          <w:szCs w:val="36"/>
        </w:rPr>
        <w:t xml:space="preserve"> </w:t>
      </w:r>
      <w:r w:rsidRPr="0082293B">
        <w:rPr>
          <w:b/>
          <w:sz w:val="36"/>
          <w:szCs w:val="36"/>
        </w:rPr>
        <w:t>A</w:t>
      </w:r>
      <w:r w:rsidR="003514B4" w:rsidRPr="0082293B">
        <w:rPr>
          <w:b/>
          <w:sz w:val="36"/>
          <w:szCs w:val="36"/>
        </w:rPr>
        <w:t xml:space="preserve">rguments </w:t>
      </w:r>
      <w:r w:rsidR="0082293B" w:rsidRPr="0082293B">
        <w:rPr>
          <w:b/>
          <w:sz w:val="36"/>
          <w:szCs w:val="36"/>
        </w:rPr>
        <w:t>in</w:t>
      </w:r>
    </w:p>
    <w:p w:rsidR="00225AC6" w:rsidRPr="0082293B" w:rsidRDefault="002C4D0A" w:rsidP="0082293B">
      <w:pPr>
        <w:spacing w:after="0" w:line="240" w:lineRule="auto"/>
        <w:jc w:val="center"/>
        <w:rPr>
          <w:b/>
          <w:sz w:val="36"/>
          <w:szCs w:val="36"/>
        </w:rPr>
      </w:pPr>
      <w:r w:rsidRPr="0082293B">
        <w:rPr>
          <w:b/>
          <w:sz w:val="36"/>
          <w:szCs w:val="36"/>
        </w:rPr>
        <w:t>Verizon</w:t>
      </w:r>
      <w:r w:rsidR="003514B4" w:rsidRPr="0082293B">
        <w:rPr>
          <w:b/>
          <w:sz w:val="36"/>
          <w:szCs w:val="36"/>
        </w:rPr>
        <w:t xml:space="preserve"> </w:t>
      </w:r>
      <w:r w:rsidRPr="0082293B">
        <w:rPr>
          <w:b/>
          <w:sz w:val="36"/>
          <w:szCs w:val="36"/>
        </w:rPr>
        <w:t>Retirees’ Pension Class Action Litigation</w:t>
      </w:r>
    </w:p>
    <w:p w:rsidR="0082293B" w:rsidRPr="00C33CA1" w:rsidRDefault="0082293B" w:rsidP="0082293B">
      <w:pPr>
        <w:spacing w:after="0" w:line="240" w:lineRule="auto"/>
        <w:rPr>
          <w:b/>
        </w:rPr>
      </w:pPr>
    </w:p>
    <w:p w:rsidR="00225AC6" w:rsidRDefault="00225AC6" w:rsidP="00225AC6">
      <w:r>
        <w:t xml:space="preserve">A three judge </w:t>
      </w:r>
      <w:r w:rsidR="00F7386A">
        <w:t xml:space="preserve">U.S. court of appeals </w:t>
      </w:r>
      <w:r>
        <w:t xml:space="preserve">panel will hear oral arguments in the class action </w:t>
      </w:r>
      <w:r w:rsidRPr="00602169">
        <w:rPr>
          <w:u w:val="single"/>
        </w:rPr>
        <w:t>Lee v. Verizon</w:t>
      </w:r>
      <w:r w:rsidR="00602169" w:rsidRPr="00602169">
        <w:rPr>
          <w:u w:val="single"/>
        </w:rPr>
        <w:t>, C</w:t>
      </w:r>
      <w:r w:rsidR="00C5400A" w:rsidRPr="00602169">
        <w:rPr>
          <w:u w:val="single"/>
        </w:rPr>
        <w:t xml:space="preserve">ase </w:t>
      </w:r>
      <w:r w:rsidR="00602169" w:rsidRPr="00602169">
        <w:rPr>
          <w:u w:val="single"/>
        </w:rPr>
        <w:t xml:space="preserve">No. </w:t>
      </w:r>
      <w:r w:rsidR="00C5400A" w:rsidRPr="00602169">
        <w:rPr>
          <w:u w:val="single"/>
        </w:rPr>
        <w:t xml:space="preserve"> 14-10553</w:t>
      </w:r>
      <w:r w:rsidR="00F7386A">
        <w:t>,</w:t>
      </w:r>
      <w:r>
        <w:t xml:space="preserve"> regarding</w:t>
      </w:r>
      <w:r w:rsidR="006521D5">
        <w:t xml:space="preserve"> the transfer of</w:t>
      </w:r>
      <w:r>
        <w:t xml:space="preserve"> 41,000 Verizon management retirees’ pensions </w:t>
      </w:r>
      <w:r w:rsidR="00602169">
        <w:t>in</w:t>
      </w:r>
      <w:r>
        <w:t xml:space="preserve">to </w:t>
      </w:r>
      <w:r w:rsidR="006521D5">
        <w:t xml:space="preserve">a </w:t>
      </w:r>
      <w:r w:rsidR="00602169">
        <w:t xml:space="preserve">single </w:t>
      </w:r>
      <w:r w:rsidR="006521D5">
        <w:t xml:space="preserve">group annuity </w:t>
      </w:r>
      <w:r w:rsidR="00602169">
        <w:t xml:space="preserve">sponsored </w:t>
      </w:r>
      <w:r w:rsidR="006521D5">
        <w:t xml:space="preserve">by </w:t>
      </w:r>
      <w:r>
        <w:t xml:space="preserve">Prudential Insurance Company.  </w:t>
      </w:r>
      <w:r w:rsidR="005B48EA" w:rsidRPr="00F7386A">
        <w:rPr>
          <w:u w:val="single"/>
        </w:rPr>
        <w:t>A</w:t>
      </w:r>
      <w:r w:rsidRPr="00F7386A">
        <w:rPr>
          <w:u w:val="single"/>
        </w:rPr>
        <w:t xml:space="preserve">rguments will be heard on February 4, 2015 </w:t>
      </w:r>
      <w:proofErr w:type="gramStart"/>
      <w:r w:rsidRPr="00F7386A">
        <w:rPr>
          <w:u w:val="single"/>
        </w:rPr>
        <w:t xml:space="preserve">at  </w:t>
      </w:r>
      <w:r w:rsidR="00E13421">
        <w:rPr>
          <w:u w:val="single"/>
        </w:rPr>
        <w:t>9:00</w:t>
      </w:r>
      <w:proofErr w:type="gramEnd"/>
      <w:r w:rsidR="00E13421">
        <w:rPr>
          <w:u w:val="single"/>
        </w:rPr>
        <w:t xml:space="preserve"> a.m. </w:t>
      </w:r>
      <w:r w:rsidR="005D470D">
        <w:rPr>
          <w:u w:val="single"/>
        </w:rPr>
        <w:t xml:space="preserve">Central Time, </w:t>
      </w:r>
      <w:r w:rsidRPr="00F7386A">
        <w:rPr>
          <w:u w:val="single"/>
        </w:rPr>
        <w:t>before the United States Court of Appeals for the 5</w:t>
      </w:r>
      <w:r w:rsidRPr="00F7386A">
        <w:rPr>
          <w:u w:val="single"/>
          <w:vertAlign w:val="superscript"/>
        </w:rPr>
        <w:t>th</w:t>
      </w:r>
      <w:r w:rsidRPr="00F7386A">
        <w:rPr>
          <w:u w:val="single"/>
        </w:rPr>
        <w:t xml:space="preserve"> Circuit in New Orleans.</w:t>
      </w:r>
    </w:p>
    <w:p w:rsidR="00225AC6" w:rsidRDefault="00AA7A99" w:rsidP="00225AC6">
      <w:r>
        <w:t>A</w:t>
      </w:r>
      <w:r w:rsidR="00225AC6">
        <w:t>ttorneys</w:t>
      </w:r>
      <w:r w:rsidR="00CE68EA">
        <w:t xml:space="preserve"> Curtis </w:t>
      </w:r>
      <w:r w:rsidR="00E13421">
        <w:t xml:space="preserve">L. </w:t>
      </w:r>
      <w:r w:rsidR="00CE68EA">
        <w:t xml:space="preserve">Kennedy of Denver and Robert </w:t>
      </w:r>
      <w:r w:rsidR="00E13421">
        <w:t xml:space="preserve">E. </w:t>
      </w:r>
      <w:r w:rsidR="00CE68EA">
        <w:t>Goodman</w:t>
      </w:r>
      <w:r w:rsidR="00E13421">
        <w:t>, Jr.</w:t>
      </w:r>
      <w:r w:rsidR="00CE68EA">
        <w:t xml:space="preserve"> of Dallas</w:t>
      </w:r>
      <w:r w:rsidR="00602169">
        <w:t xml:space="preserve"> </w:t>
      </w:r>
      <w:r w:rsidR="00CE68EA">
        <w:t>are</w:t>
      </w:r>
      <w:r w:rsidR="00225AC6">
        <w:t xml:space="preserve"> </w:t>
      </w:r>
      <w:r w:rsidR="00CE68EA">
        <w:t>representing the</w:t>
      </w:r>
      <w:r w:rsidR="00602169">
        <w:t xml:space="preserve"> class of</w:t>
      </w:r>
      <w:r w:rsidR="00CE68EA">
        <w:t xml:space="preserve"> 41,000 Verizon retirees.  They</w:t>
      </w:r>
      <w:r w:rsidR="00225AC6">
        <w:t xml:space="preserve"> originally filed </w:t>
      </w:r>
      <w:r w:rsidR="00E13421">
        <w:t xml:space="preserve">a request for </w:t>
      </w:r>
      <w:r w:rsidR="00225AC6">
        <w:t xml:space="preserve">an injunction in November 2012 </w:t>
      </w:r>
      <w:r w:rsidR="00E13421">
        <w:t xml:space="preserve">in an effort to block the transfer of retirees, but Chief </w:t>
      </w:r>
      <w:r w:rsidR="00445CAC">
        <w:t>Judge Sidney Fitzwater</w:t>
      </w:r>
      <w:r w:rsidR="00225AC6">
        <w:t xml:space="preserve"> </w:t>
      </w:r>
      <w:r w:rsidR="00E13421">
        <w:t xml:space="preserve">of the Northern District of Texas </w:t>
      </w:r>
      <w:r w:rsidR="00225AC6">
        <w:t xml:space="preserve">allowed the </w:t>
      </w:r>
      <w:r w:rsidR="00602169">
        <w:t xml:space="preserve">annuity </w:t>
      </w:r>
      <w:r w:rsidR="00225AC6">
        <w:t xml:space="preserve">transaction to move forward in </w:t>
      </w:r>
      <w:r w:rsidR="00E13421">
        <w:t>December 2012</w:t>
      </w:r>
      <w:r w:rsidR="00225AC6">
        <w:t xml:space="preserve">.  </w:t>
      </w:r>
    </w:p>
    <w:p w:rsidR="00C5400A" w:rsidRDefault="00C5400A" w:rsidP="00C5400A">
      <w:r>
        <w:t>“This case is being closely monitored by corporate pension sponsors, pension fund managers, the annuity insurance industry and ERISA legal profe</w:t>
      </w:r>
      <w:r w:rsidR="00F7386A">
        <w:t xml:space="preserve">ssionals throughout the nation,” </w:t>
      </w:r>
      <w:r w:rsidR="00602169">
        <w:t>r</w:t>
      </w:r>
      <w:r w:rsidR="00F7386A">
        <w:t>etirees</w:t>
      </w:r>
      <w:r w:rsidR="00602169">
        <w:t>’</w:t>
      </w:r>
      <w:r w:rsidR="00F7386A">
        <w:t xml:space="preserve"> attorney Curtis </w:t>
      </w:r>
      <w:r w:rsidR="00E13421">
        <w:t xml:space="preserve">L. </w:t>
      </w:r>
      <w:r w:rsidR="00F7386A">
        <w:t>Kennedy said,</w:t>
      </w:r>
      <w:r>
        <w:t xml:space="preserve"> </w:t>
      </w:r>
      <w:r w:rsidR="00F7386A">
        <w:t>“</w:t>
      </w:r>
      <w:r>
        <w:t>Indeed the case will develop ERISA law that will have repercussions on retiree pensioners throughout the nati</w:t>
      </w:r>
      <w:r w:rsidR="00F7386A">
        <w:t xml:space="preserve">on.” </w:t>
      </w:r>
    </w:p>
    <w:p w:rsidR="00225AC6" w:rsidRDefault="00225AC6" w:rsidP="00225AC6">
      <w:r>
        <w:t xml:space="preserve">The retirees argue that the original court decision allowing the transaction to go forward severely undermined federal ERISA law's strict statutory duties and the rigor with which the United States Congress intended the federal courts to monitor the conduct of pension fiduciaries. </w:t>
      </w:r>
    </w:p>
    <w:p w:rsidR="00225AC6" w:rsidRDefault="00225AC6" w:rsidP="00225AC6">
      <w:r>
        <w:t>Verizon</w:t>
      </w:r>
      <w:r w:rsidR="00602169">
        <w:t xml:space="preserve"> </w:t>
      </w:r>
      <w:r>
        <w:t xml:space="preserve">claimed that </w:t>
      </w:r>
      <w:r w:rsidR="00E13421">
        <w:t xml:space="preserve">developed </w:t>
      </w:r>
      <w:r>
        <w:t>ERISA laws do not apply to its decision to alter the V</w:t>
      </w:r>
      <w:r w:rsidR="000D1B55">
        <w:t>eriz</w:t>
      </w:r>
      <w:r w:rsidR="00F94C4A">
        <w:t xml:space="preserve">on </w:t>
      </w:r>
      <w:r w:rsidR="00E13421">
        <w:t>M</w:t>
      </w:r>
      <w:r w:rsidR="00F94C4A">
        <w:t xml:space="preserve">anagement </w:t>
      </w:r>
      <w:r w:rsidR="00E13421">
        <w:t>P</w:t>
      </w:r>
      <w:r w:rsidR="00F94C4A">
        <w:t xml:space="preserve">ension </w:t>
      </w:r>
      <w:r w:rsidR="00E13421">
        <w:t>P</w:t>
      </w:r>
      <w:r w:rsidR="00F94C4A">
        <w:t>lan</w:t>
      </w:r>
      <w:r w:rsidR="00E13421">
        <w:t xml:space="preserve">, and then </w:t>
      </w:r>
      <w:r>
        <w:t>proceed</w:t>
      </w:r>
      <w:r w:rsidR="00554EFB">
        <w:t>ed</w:t>
      </w:r>
      <w:r>
        <w:t xml:space="preserve"> with the annuity transaction.  </w:t>
      </w:r>
    </w:p>
    <w:p w:rsidR="00225AC6" w:rsidRDefault="00225AC6" w:rsidP="00225AC6">
      <w:r>
        <w:t>“Although the retirees are still receiving</w:t>
      </w:r>
      <w:r w:rsidR="00F94C4A">
        <w:t xml:space="preserve"> the same monthly payments, this pension stripping </w:t>
      </w:r>
      <w:r w:rsidR="00C953C6">
        <w:t>transaction replaces their</w:t>
      </w:r>
      <w:r>
        <w:t xml:space="preserve"> pensions with non-ERISA protected insurance annuities</w:t>
      </w:r>
      <w:r w:rsidR="00C953C6">
        <w:t xml:space="preserve">.  It </w:t>
      </w:r>
      <w:r>
        <w:t>strip</w:t>
      </w:r>
      <w:r w:rsidR="00C953C6">
        <w:t xml:space="preserve">s </w:t>
      </w:r>
      <w:r w:rsidR="00602169">
        <w:t xml:space="preserve">retirees </w:t>
      </w:r>
      <w:r>
        <w:t xml:space="preserve">of </w:t>
      </w:r>
      <w:r w:rsidR="00602169">
        <w:t>ERISA’s p</w:t>
      </w:r>
      <w:r>
        <w:t xml:space="preserve">rotections </w:t>
      </w:r>
      <w:r w:rsidR="00602169">
        <w:t xml:space="preserve">and </w:t>
      </w:r>
      <w:r>
        <w:t>the Pension Benefit Guaranty Corporation</w:t>
      </w:r>
      <w:r w:rsidR="00602169">
        <w:t>’s uniform guarantee</w:t>
      </w:r>
      <w:r w:rsidR="00E13421">
        <w:t xml:space="preserve">, </w:t>
      </w:r>
      <w:r w:rsidR="00C953C6">
        <w:t>p</w:t>
      </w:r>
      <w:r w:rsidR="00E13421">
        <w:t>ut</w:t>
      </w:r>
      <w:r w:rsidR="00C953C6">
        <w:t>ting</w:t>
      </w:r>
      <w:r w:rsidR="00602169">
        <w:t xml:space="preserve"> </w:t>
      </w:r>
      <w:r w:rsidR="00C953C6">
        <w:t>their</w:t>
      </w:r>
      <w:r w:rsidR="00602169">
        <w:t xml:space="preserve"> </w:t>
      </w:r>
      <w:r w:rsidR="00E13421">
        <w:t>retirement income stream at risk in the event of a personal bankruptcy</w:t>
      </w:r>
      <w:r w:rsidR="00C953C6">
        <w:t xml:space="preserve">,” said Association of </w:t>
      </w:r>
      <w:proofErr w:type="spellStart"/>
      <w:r w:rsidR="00C953C6">
        <w:t>BellTel</w:t>
      </w:r>
      <w:proofErr w:type="spellEnd"/>
      <w:r w:rsidR="00C953C6">
        <w:t xml:space="preserve"> Retirees (</w:t>
      </w:r>
      <w:hyperlink r:id="rId10" w:history="1">
        <w:r w:rsidR="00C953C6" w:rsidRPr="00D31A39">
          <w:rPr>
            <w:rStyle w:val="Hyperlink"/>
          </w:rPr>
          <w:t>www.belltelretirees.org</w:t>
        </w:r>
      </w:hyperlink>
      <w:r w:rsidR="00C953C6">
        <w:t>) Chairman Jack Cohen, who was one of the 41,000 retirees whose pension was spun-off. “</w:t>
      </w:r>
      <w:r>
        <w:t xml:space="preserve">No one is arguing about the </w:t>
      </w:r>
      <w:r w:rsidR="00E13421">
        <w:t xml:space="preserve">present </w:t>
      </w:r>
      <w:r>
        <w:t xml:space="preserve">solvency </w:t>
      </w:r>
      <w:r w:rsidR="00E13421">
        <w:t xml:space="preserve">condition </w:t>
      </w:r>
      <w:r>
        <w:t>of Prudential, but because of this transfer</w:t>
      </w:r>
      <w:r w:rsidR="00445CAC">
        <w:t>,</w:t>
      </w:r>
      <w:r>
        <w:t xml:space="preserve"> retirees are not safeguarded under the same protections as prior to the transa</w:t>
      </w:r>
      <w:r w:rsidR="00C953C6">
        <w:t>ction.</w:t>
      </w:r>
      <w:r>
        <w:t>”</w:t>
      </w:r>
      <w:r w:rsidRPr="00A672BD">
        <w:t xml:space="preserve"> </w:t>
      </w:r>
    </w:p>
    <w:p w:rsidR="00225AC6" w:rsidRDefault="00F94C4A" w:rsidP="00225AC6">
      <w:r>
        <w:t>Retirees are concerned that i</w:t>
      </w:r>
      <w:r w:rsidR="00225AC6">
        <w:t>f Prudential or a successor experiences a default or asset shortfall, the previous federal PBGC protection</w:t>
      </w:r>
      <w:r w:rsidR="00602169">
        <w:t xml:space="preserve"> </w:t>
      </w:r>
      <w:r w:rsidR="00E13421">
        <w:t xml:space="preserve">to which </w:t>
      </w:r>
      <w:r w:rsidR="00225AC6">
        <w:t xml:space="preserve">pensioners </w:t>
      </w:r>
      <w:r>
        <w:t>were entitled</w:t>
      </w:r>
      <w:r w:rsidR="00E13421">
        <w:t xml:space="preserve"> has been replaced </w:t>
      </w:r>
      <w:r w:rsidR="00225AC6">
        <w:t xml:space="preserve">by a patchwork of insurance industry controlled state guaranty associations, which are not pre-funded </w:t>
      </w:r>
      <w:r w:rsidR="00C5400A">
        <w:t xml:space="preserve">in the case of </w:t>
      </w:r>
      <w:r w:rsidR="00225AC6">
        <w:t xml:space="preserve">catastrophic financial loss.  Insurance annuities are backed only by </w:t>
      </w:r>
      <w:r w:rsidR="00C5400A">
        <w:t>v</w:t>
      </w:r>
      <w:r w:rsidR="00225AC6">
        <w:t xml:space="preserve">arying coverage – determined by state of residence – from $100,000 - $500,000, lifetime, per person cap.  </w:t>
      </w:r>
    </w:p>
    <w:p w:rsidR="0082293B" w:rsidRPr="0082293B" w:rsidRDefault="0082293B" w:rsidP="0082293B">
      <w:pPr>
        <w:jc w:val="center"/>
        <w:rPr>
          <w:i/>
          <w:sz w:val="18"/>
          <w:szCs w:val="18"/>
        </w:rPr>
      </w:pPr>
      <w:r w:rsidRPr="0082293B">
        <w:rPr>
          <w:i/>
          <w:sz w:val="18"/>
          <w:szCs w:val="18"/>
        </w:rPr>
        <w:t>-</w:t>
      </w:r>
      <w:proofErr w:type="gramStart"/>
      <w:r w:rsidRPr="0082293B">
        <w:rPr>
          <w:i/>
          <w:sz w:val="18"/>
          <w:szCs w:val="18"/>
        </w:rPr>
        <w:t>continued</w:t>
      </w:r>
      <w:proofErr w:type="gramEnd"/>
      <w:r w:rsidRPr="0082293B">
        <w:rPr>
          <w:i/>
          <w:sz w:val="18"/>
          <w:szCs w:val="18"/>
        </w:rPr>
        <w:t>-</w:t>
      </w:r>
    </w:p>
    <w:p w:rsidR="0082293B" w:rsidRPr="0082293B" w:rsidRDefault="0082293B" w:rsidP="0082293B">
      <w:pPr>
        <w:jc w:val="center"/>
        <w:rPr>
          <w:i/>
          <w:sz w:val="18"/>
          <w:szCs w:val="18"/>
        </w:rPr>
      </w:pPr>
      <w:r w:rsidRPr="0082293B">
        <w:rPr>
          <w:i/>
          <w:sz w:val="18"/>
          <w:szCs w:val="18"/>
        </w:rPr>
        <w:lastRenderedPageBreak/>
        <w:t>-</w:t>
      </w:r>
      <w:proofErr w:type="gramStart"/>
      <w:r w:rsidRPr="0082293B">
        <w:rPr>
          <w:i/>
          <w:sz w:val="18"/>
          <w:szCs w:val="18"/>
        </w:rPr>
        <w:t>continued</w:t>
      </w:r>
      <w:proofErr w:type="gramEnd"/>
      <w:r w:rsidRPr="0082293B">
        <w:rPr>
          <w:i/>
          <w:sz w:val="18"/>
          <w:szCs w:val="18"/>
        </w:rPr>
        <w:t>/ page 2-</w:t>
      </w:r>
    </w:p>
    <w:p w:rsidR="00225AC6" w:rsidRDefault="00225AC6" w:rsidP="00225AC6">
      <w:r>
        <w:t xml:space="preserve">Verizon also does not adequately refute the Association of </w:t>
      </w:r>
      <w:proofErr w:type="spellStart"/>
      <w:r>
        <w:t>BellTel</w:t>
      </w:r>
      <w:proofErr w:type="spellEnd"/>
      <w:r>
        <w:t xml:space="preserve"> Retirees claim that the pension plan transfer </w:t>
      </w:r>
      <w:proofErr w:type="gramStart"/>
      <w:r>
        <w:t>was highly</w:t>
      </w:r>
      <w:proofErr w:type="gramEnd"/>
      <w:r>
        <w:t xml:space="preserve"> discriminatory, nor do</w:t>
      </w:r>
      <w:r w:rsidR="00602169">
        <w:t xml:space="preserve">es the corporation </w:t>
      </w:r>
      <w:r>
        <w:t xml:space="preserve">address the argument that retirees were not </w:t>
      </w:r>
      <w:r w:rsidR="00602169">
        <w:t xml:space="preserve">consulted and given a fair choice in the matter.  </w:t>
      </w:r>
      <w:r>
        <w:t xml:space="preserve">Other companies transacting similar de-risking </w:t>
      </w:r>
      <w:r w:rsidR="00602169">
        <w:t>lift-outs</w:t>
      </w:r>
      <w:r>
        <w:t>, such as General Motors</w:t>
      </w:r>
      <w:r w:rsidR="00602169">
        <w:t xml:space="preserve"> and Ford</w:t>
      </w:r>
      <w:r>
        <w:t>, gave their retirees notice and a choice of accepting a lump sum before they transferred their pension plans to Prudential.</w:t>
      </w:r>
    </w:p>
    <w:p w:rsidR="000D1B55" w:rsidRDefault="008E5FDA" w:rsidP="002E3E83">
      <w:r>
        <w:t xml:space="preserve">The case is: William Lee, Joanne </w:t>
      </w:r>
      <w:proofErr w:type="spellStart"/>
      <w:r>
        <w:t>McPartlin</w:t>
      </w:r>
      <w:proofErr w:type="spellEnd"/>
      <w:r>
        <w:t xml:space="preserve"> and Edward </w:t>
      </w:r>
      <w:proofErr w:type="spellStart"/>
      <w:r>
        <w:t>Pundt</w:t>
      </w:r>
      <w:proofErr w:type="spellEnd"/>
      <w:r>
        <w:t>, as Plan Participants and Beneficiaries of the Verizon Management Pension Plan vs. Verizon Communications Inc., et al.</w:t>
      </w:r>
      <w:r w:rsidR="00C5400A">
        <w:t xml:space="preserve"> (case # 14-10553)</w:t>
      </w:r>
    </w:p>
    <w:p w:rsidR="00630348" w:rsidRDefault="008E5FDA">
      <w:pPr>
        <w:rPr>
          <w:rStyle w:val="Hyperlink"/>
        </w:rPr>
      </w:pPr>
      <w:r>
        <w:t>See court filings</w:t>
      </w:r>
      <w:r w:rsidR="00225AC6">
        <w:t xml:space="preserve"> at </w:t>
      </w:r>
      <w:hyperlink r:id="rId11" w:history="1">
        <w:r w:rsidR="002E3E83" w:rsidRPr="005B4ABD">
          <w:rPr>
            <w:rStyle w:val="Hyperlink"/>
          </w:rPr>
          <w:t>http://www.belltelretirees.org/index.php?option=com_content&amp;view=article&amp;id=71&amp;Itemid=71</w:t>
        </w:r>
      </w:hyperlink>
    </w:p>
    <w:p w:rsidR="001C050D" w:rsidRDefault="001C050D">
      <w:pPr>
        <w:rPr>
          <w:rStyle w:val="Hyperlink"/>
        </w:rPr>
      </w:pPr>
    </w:p>
    <w:p w:rsidR="001C050D" w:rsidRPr="001C050D" w:rsidRDefault="001C050D" w:rsidP="001C050D">
      <w:pPr>
        <w:jc w:val="center"/>
      </w:pPr>
      <w:r w:rsidRPr="001C050D">
        <w:rPr>
          <w:rStyle w:val="Hyperlink"/>
          <w:u w:val="none"/>
        </w:rPr>
        <w:t>###</w:t>
      </w:r>
    </w:p>
    <w:sectPr w:rsidR="001C050D" w:rsidRPr="001C050D" w:rsidSect="009A2AB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C6"/>
    <w:rsid w:val="00016DC8"/>
    <w:rsid w:val="000B0525"/>
    <w:rsid w:val="000D1B55"/>
    <w:rsid w:val="0015201C"/>
    <w:rsid w:val="001C050D"/>
    <w:rsid w:val="00225AC6"/>
    <w:rsid w:val="002424B1"/>
    <w:rsid w:val="002C4D0A"/>
    <w:rsid w:val="002E3E83"/>
    <w:rsid w:val="003514B4"/>
    <w:rsid w:val="00382EF0"/>
    <w:rsid w:val="00445CAC"/>
    <w:rsid w:val="004F7505"/>
    <w:rsid w:val="00554146"/>
    <w:rsid w:val="00554EFB"/>
    <w:rsid w:val="00565875"/>
    <w:rsid w:val="005A6463"/>
    <w:rsid w:val="005B454A"/>
    <w:rsid w:val="005B48EA"/>
    <w:rsid w:val="005D470D"/>
    <w:rsid w:val="00602169"/>
    <w:rsid w:val="00630348"/>
    <w:rsid w:val="006521D5"/>
    <w:rsid w:val="007337D1"/>
    <w:rsid w:val="0082293B"/>
    <w:rsid w:val="008E5FDA"/>
    <w:rsid w:val="00982854"/>
    <w:rsid w:val="00995F3E"/>
    <w:rsid w:val="009A2AB8"/>
    <w:rsid w:val="00AA0786"/>
    <w:rsid w:val="00AA7A99"/>
    <w:rsid w:val="00BA5D0E"/>
    <w:rsid w:val="00BB6FBC"/>
    <w:rsid w:val="00C33CA1"/>
    <w:rsid w:val="00C5400A"/>
    <w:rsid w:val="00C953C6"/>
    <w:rsid w:val="00CE68EA"/>
    <w:rsid w:val="00D720A8"/>
    <w:rsid w:val="00E13421"/>
    <w:rsid w:val="00F4487D"/>
    <w:rsid w:val="00F7386A"/>
    <w:rsid w:val="00F94C4A"/>
    <w:rsid w:val="00FA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C6"/>
    <w:rPr>
      <w:rFonts w:ascii="Tahoma" w:hAnsi="Tahoma" w:cs="Tahoma"/>
      <w:sz w:val="16"/>
      <w:szCs w:val="16"/>
    </w:rPr>
  </w:style>
  <w:style w:type="character" w:styleId="Hyperlink">
    <w:name w:val="Hyperlink"/>
    <w:basedOn w:val="DefaultParagraphFont"/>
    <w:uiPriority w:val="99"/>
    <w:unhideWhenUsed/>
    <w:rsid w:val="002E3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C6"/>
    <w:rPr>
      <w:rFonts w:ascii="Tahoma" w:hAnsi="Tahoma" w:cs="Tahoma"/>
      <w:sz w:val="16"/>
      <w:szCs w:val="16"/>
    </w:rPr>
  </w:style>
  <w:style w:type="character" w:styleId="Hyperlink">
    <w:name w:val="Hyperlink"/>
    <w:basedOn w:val="DefaultParagraphFont"/>
    <w:uiPriority w:val="99"/>
    <w:unhideWhenUsed/>
    <w:rsid w:val="002E3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arman@Butlerassociate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Butler@Butlerassociat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elltelretirees.org/index.php?option=com_content&amp;view=article&amp;id=71&amp;Itemid=71" TargetMode="External"/><Relationship Id="rId5" Type="http://schemas.openxmlformats.org/officeDocument/2006/relationships/webSettings" Target="webSettings.xml"/><Relationship Id="rId10" Type="http://schemas.openxmlformats.org/officeDocument/2006/relationships/hyperlink" Target="http://www.belltelretirees.org" TargetMode="External"/><Relationship Id="rId4" Type="http://schemas.openxmlformats.org/officeDocument/2006/relationships/settings" Target="settings.xml"/><Relationship Id="rId9" Type="http://schemas.openxmlformats.org/officeDocument/2006/relationships/hyperlink" Target="mailto:KAlexander@Butler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BDAE-0E6B-486A-BA49-D6B9BBE1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Associates</dc:creator>
  <cp:lastModifiedBy>Butler Associates</cp:lastModifiedBy>
  <cp:revision>2</cp:revision>
  <cp:lastPrinted>2015-02-02T18:15:00Z</cp:lastPrinted>
  <dcterms:created xsi:type="dcterms:W3CDTF">2015-04-27T18:54:00Z</dcterms:created>
  <dcterms:modified xsi:type="dcterms:W3CDTF">2015-04-27T18:54:00Z</dcterms:modified>
</cp:coreProperties>
</file>