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1E853" w14:textId="77777777" w:rsidR="00A035BE" w:rsidRPr="00042D18" w:rsidRDefault="00A035BE" w:rsidP="00A035BE">
      <w:pPr>
        <w:rPr>
          <w:rFonts w:ascii="Arial Narrow" w:hAnsi="Arial Narrow"/>
        </w:rPr>
      </w:pPr>
      <w:r w:rsidRPr="00042D18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E4078CD" wp14:editId="4A6713E8">
            <wp:simplePos x="0" y="0"/>
            <wp:positionH relativeFrom="column">
              <wp:posOffset>5397500</wp:posOffset>
            </wp:positionH>
            <wp:positionV relativeFrom="paragraph">
              <wp:posOffset>-16510</wp:posOffset>
            </wp:positionV>
            <wp:extent cx="1227455" cy="1122045"/>
            <wp:effectExtent l="0" t="0" r="0" b="1905"/>
            <wp:wrapSquare wrapText="bothSides"/>
            <wp:docPr id="1" name="Picture 1" descr="belltell_BK&amp;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ltell_BK&amp;W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D18">
        <w:rPr>
          <w:rFonts w:ascii="Arial Narrow" w:hAnsi="Arial Narrow"/>
        </w:rPr>
        <w:t>From:</w:t>
      </w:r>
      <w:r w:rsidRPr="00042D18">
        <w:rPr>
          <w:rFonts w:ascii="Arial Narrow" w:hAnsi="Arial Narrow"/>
        </w:rPr>
        <w:tab/>
        <w:t xml:space="preserve">Association of </w:t>
      </w:r>
      <w:proofErr w:type="spellStart"/>
      <w:r w:rsidRPr="00042D18">
        <w:rPr>
          <w:rFonts w:ascii="Arial Narrow" w:hAnsi="Arial Narrow"/>
        </w:rPr>
        <w:t>BellTel</w:t>
      </w:r>
      <w:proofErr w:type="spellEnd"/>
      <w:r w:rsidRPr="00042D18">
        <w:rPr>
          <w:rFonts w:ascii="Arial Narrow" w:hAnsi="Arial Narrow"/>
        </w:rPr>
        <w:t xml:space="preserve"> Retirees Inc.</w:t>
      </w:r>
      <w:r w:rsidRPr="00042D18">
        <w:rPr>
          <w:rFonts w:ascii="Arial Narrow" w:hAnsi="Arial Narrow"/>
        </w:rPr>
        <w:tab/>
      </w:r>
      <w:r w:rsidRPr="00042D18">
        <w:rPr>
          <w:rFonts w:ascii="Arial Narrow" w:hAnsi="Arial Narrow"/>
        </w:rPr>
        <w:tab/>
      </w:r>
      <w:r w:rsidRPr="00042D18">
        <w:rPr>
          <w:rFonts w:ascii="Arial Narrow" w:hAnsi="Arial Narrow"/>
        </w:rPr>
        <w:tab/>
      </w:r>
    </w:p>
    <w:p w14:paraId="330AA64C" w14:textId="77777777" w:rsidR="00A035BE" w:rsidRPr="00EB037B" w:rsidRDefault="00A035BE" w:rsidP="00A035BE">
      <w:pPr>
        <w:rPr>
          <w:rFonts w:ascii="Arial Narrow" w:hAnsi="Arial Narrow"/>
          <w:b/>
        </w:rPr>
      </w:pPr>
      <w:r w:rsidRPr="00EB037B">
        <w:rPr>
          <w:rFonts w:ascii="Arial Narrow" w:hAnsi="Arial Narrow"/>
          <w:sz w:val="21"/>
          <w:szCs w:val="21"/>
        </w:rPr>
        <w:tab/>
      </w:r>
      <w:proofErr w:type="gramStart"/>
      <w:r w:rsidRPr="00EB037B">
        <w:rPr>
          <w:rFonts w:ascii="Arial Narrow" w:hAnsi="Arial Narrow"/>
          <w:b/>
        </w:rPr>
        <w:t>Butler Associates, LLC.</w:t>
      </w:r>
      <w:proofErr w:type="gramEnd"/>
      <w:r>
        <w:rPr>
          <w:rFonts w:ascii="Arial Narrow" w:hAnsi="Arial Narrow"/>
          <w:b/>
        </w:rPr>
        <w:t xml:space="preserve"> 212-685-4600</w:t>
      </w:r>
    </w:p>
    <w:p w14:paraId="3A9A8BE6" w14:textId="77777777" w:rsidR="00A035BE" w:rsidRPr="00EB037B" w:rsidRDefault="00A035BE" w:rsidP="00A035BE">
      <w:pPr>
        <w:rPr>
          <w:rFonts w:ascii="Arial Narrow" w:hAnsi="Arial Narrow"/>
          <w:b/>
        </w:rPr>
      </w:pPr>
      <w:r w:rsidRPr="00EB037B">
        <w:rPr>
          <w:rFonts w:ascii="Arial Narrow" w:hAnsi="Arial Narrow"/>
          <w:b/>
        </w:rPr>
        <w:tab/>
      </w:r>
      <w:smartTag w:uri="urn:schemas-microsoft-com:office:smarttags" w:element="Street">
        <w:smartTag w:uri="urn:schemas-microsoft-com:office:smarttags" w:element="address">
          <w:r w:rsidRPr="00EB037B">
            <w:rPr>
              <w:rFonts w:ascii="Arial Narrow" w:hAnsi="Arial Narrow"/>
              <w:b/>
            </w:rPr>
            <w:t>204 East 23</w:t>
          </w:r>
          <w:r w:rsidRPr="00EB037B">
            <w:rPr>
              <w:rFonts w:ascii="Arial Narrow" w:hAnsi="Arial Narrow"/>
              <w:b/>
              <w:vertAlign w:val="superscript"/>
            </w:rPr>
            <w:t>rd</w:t>
          </w:r>
          <w:r w:rsidRPr="00EB037B">
            <w:rPr>
              <w:rFonts w:ascii="Arial Narrow" w:hAnsi="Arial Narrow"/>
              <w:b/>
            </w:rPr>
            <w:t xml:space="preserve"> Street</w:t>
          </w:r>
        </w:smartTag>
      </w:smartTag>
    </w:p>
    <w:p w14:paraId="55F5CBAC" w14:textId="77777777" w:rsidR="00A035BE" w:rsidRPr="00EB037B" w:rsidRDefault="00A035BE" w:rsidP="00A035BE">
      <w:pPr>
        <w:rPr>
          <w:rFonts w:ascii="Arial Narrow" w:hAnsi="Arial Narrow"/>
          <w:b/>
        </w:rPr>
      </w:pPr>
      <w:r w:rsidRPr="00EB037B">
        <w:rPr>
          <w:rFonts w:ascii="Arial Narrow" w:hAnsi="Arial Narrow"/>
          <w:b/>
        </w:rPr>
        <w:tab/>
      </w:r>
      <w:smartTag w:uri="urn:schemas-microsoft-com:office:smarttags" w:element="place">
        <w:smartTag w:uri="urn:schemas-microsoft-com:office:smarttags" w:element="City">
          <w:r w:rsidRPr="00EB037B">
            <w:rPr>
              <w:rFonts w:ascii="Arial Narrow" w:hAnsi="Arial Narrow"/>
              <w:b/>
            </w:rPr>
            <w:t>New York</w:t>
          </w:r>
        </w:smartTag>
        <w:r w:rsidRPr="00EB037B">
          <w:rPr>
            <w:rFonts w:ascii="Arial Narrow" w:hAnsi="Arial Narrow"/>
            <w:b/>
          </w:rPr>
          <w:t xml:space="preserve">, </w:t>
        </w:r>
        <w:smartTag w:uri="urn:schemas-microsoft-com:office:smarttags" w:element="State">
          <w:r w:rsidRPr="00EB037B">
            <w:rPr>
              <w:rFonts w:ascii="Arial Narrow" w:hAnsi="Arial Narrow"/>
              <w:b/>
            </w:rPr>
            <w:t>NY</w:t>
          </w:r>
        </w:smartTag>
        <w:r w:rsidRPr="00EB037B">
          <w:rPr>
            <w:rFonts w:ascii="Arial Narrow" w:hAnsi="Arial Narrow"/>
            <w:b/>
          </w:rPr>
          <w:t xml:space="preserve"> </w:t>
        </w:r>
        <w:smartTag w:uri="urn:schemas-microsoft-com:office:smarttags" w:element="PostalCode">
          <w:r w:rsidRPr="00EB037B">
            <w:rPr>
              <w:rFonts w:ascii="Arial Narrow" w:hAnsi="Arial Narrow"/>
              <w:b/>
            </w:rPr>
            <w:t>10010</w:t>
          </w:r>
        </w:smartTag>
      </w:smartTag>
    </w:p>
    <w:p w14:paraId="51936C83" w14:textId="77777777" w:rsidR="00A035BE" w:rsidRDefault="00A035BE" w:rsidP="00A035BE">
      <w:pPr>
        <w:pBdr>
          <w:bottom w:val="single" w:sz="12" w:space="1" w:color="auto"/>
        </w:pBdr>
        <w:rPr>
          <w:rStyle w:val="Hyperlink"/>
          <w:rFonts w:ascii="Arial Narrow" w:hAnsi="Arial Narrow"/>
          <w:b/>
        </w:rPr>
      </w:pPr>
      <w:r w:rsidRPr="00EB037B">
        <w:rPr>
          <w:rFonts w:ascii="Arial Narrow" w:hAnsi="Arial Narrow"/>
          <w:b/>
        </w:rPr>
        <w:tab/>
      </w:r>
      <w:r w:rsidRPr="00EB037B">
        <w:rPr>
          <w:rFonts w:ascii="Arial Narrow" w:hAnsi="Arial Narrow"/>
          <w:b/>
          <w:u w:val="single"/>
        </w:rPr>
        <w:t>Contact:</w:t>
      </w:r>
      <w:r w:rsidRPr="00EB037B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Tom Butler – </w:t>
      </w:r>
      <w:hyperlink r:id="rId9" w:history="1">
        <w:r w:rsidRPr="003E0178">
          <w:rPr>
            <w:rStyle w:val="Hyperlink"/>
            <w:rFonts w:ascii="Arial Narrow" w:hAnsi="Arial Narrow"/>
            <w:b/>
          </w:rPr>
          <w:t>Tbutler@butlerassociates.com</w:t>
        </w:r>
      </w:hyperlink>
    </w:p>
    <w:p w14:paraId="5DC8526D" w14:textId="0C4D7100" w:rsidR="007C218B" w:rsidRPr="007C218B" w:rsidRDefault="007C218B" w:rsidP="00A035BE">
      <w:pPr>
        <w:pBdr>
          <w:bottom w:val="single" w:sz="12" w:space="1" w:color="auto"/>
        </w:pBdr>
        <w:ind w:firstLine="720"/>
        <w:rPr>
          <w:rStyle w:val="Hyperlink"/>
          <w:rFonts w:ascii="Arial Narrow" w:hAnsi="Arial Narrow"/>
          <w:b/>
        </w:rPr>
      </w:pPr>
      <w:r w:rsidRPr="007C218B">
        <w:rPr>
          <w:rStyle w:val="Hyperlink"/>
          <w:rFonts w:ascii="Arial Narrow" w:hAnsi="Arial Narrow"/>
          <w:u w:val="none"/>
        </w:rPr>
        <w:tab/>
        <w:t xml:space="preserve">   </w:t>
      </w:r>
      <w:r w:rsidRPr="007C218B">
        <w:rPr>
          <w:rStyle w:val="Hyperlink"/>
          <w:rFonts w:ascii="Arial Narrow" w:hAnsi="Arial Narrow"/>
          <w:b/>
          <w:u w:val="none"/>
        </w:rPr>
        <w:t>Jason Fink –</w:t>
      </w:r>
      <w:r w:rsidRPr="007C218B">
        <w:rPr>
          <w:rStyle w:val="Hyperlink"/>
          <w:rFonts w:ascii="Arial Narrow" w:hAnsi="Arial Narrow"/>
          <w:b/>
        </w:rPr>
        <w:t xml:space="preserve"> Jfink@butlerassociates.com</w:t>
      </w:r>
    </w:p>
    <w:p w14:paraId="1FB6AE11" w14:textId="77777777" w:rsidR="00A035BE" w:rsidRDefault="00A035BE" w:rsidP="00A035BE">
      <w:pPr>
        <w:pBdr>
          <w:bottom w:val="single" w:sz="12" w:space="1" w:color="auto"/>
        </w:pBdr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Victoria Carman – </w:t>
      </w:r>
      <w:hyperlink r:id="rId10" w:history="1">
        <w:r w:rsidRPr="003E0178">
          <w:rPr>
            <w:rStyle w:val="Hyperlink"/>
            <w:rFonts w:ascii="Arial Narrow" w:hAnsi="Arial Narrow"/>
            <w:b/>
          </w:rPr>
          <w:t>Vcarman@butlerassociates.com</w:t>
        </w:r>
      </w:hyperlink>
    </w:p>
    <w:p w14:paraId="46E0652B" w14:textId="77777777" w:rsidR="00A035BE" w:rsidRDefault="00A035BE" w:rsidP="00D47CBB">
      <w:pPr>
        <w:rPr>
          <w:rFonts w:ascii="Calibri" w:hAnsi="Calibri"/>
          <w:sz w:val="22"/>
        </w:rPr>
      </w:pPr>
    </w:p>
    <w:p w14:paraId="03E17412" w14:textId="77777777" w:rsidR="0034597A" w:rsidRPr="007164CB" w:rsidRDefault="0034597A" w:rsidP="00D47CBB">
      <w:pPr>
        <w:rPr>
          <w:rFonts w:ascii="Verdana" w:hAnsi="Verdana"/>
        </w:rPr>
      </w:pPr>
    </w:p>
    <w:p w14:paraId="1FC134C7" w14:textId="5FE88182" w:rsidR="00D47CBB" w:rsidRPr="007164CB" w:rsidRDefault="00D47CBB" w:rsidP="00D47CBB">
      <w:pPr>
        <w:rPr>
          <w:rFonts w:ascii="Verdana" w:hAnsi="Verdana"/>
        </w:rPr>
      </w:pPr>
      <w:r w:rsidRPr="007164CB">
        <w:rPr>
          <w:rFonts w:ascii="Verdana" w:hAnsi="Verdana"/>
          <w:b/>
        </w:rPr>
        <w:t xml:space="preserve">Verizon Retirees Fight </w:t>
      </w:r>
      <w:proofErr w:type="gramStart"/>
      <w:r w:rsidRPr="007164CB">
        <w:rPr>
          <w:rFonts w:ascii="Verdana" w:hAnsi="Verdana"/>
          <w:b/>
        </w:rPr>
        <w:t>Against</w:t>
      </w:r>
      <w:proofErr w:type="gramEnd"/>
      <w:r w:rsidR="00E60DBD">
        <w:rPr>
          <w:rFonts w:ascii="Verdana" w:hAnsi="Verdana"/>
          <w:b/>
        </w:rPr>
        <w:t xml:space="preserve"> Even</w:t>
      </w:r>
      <w:r w:rsidRPr="007164CB">
        <w:rPr>
          <w:rFonts w:ascii="Verdana" w:hAnsi="Verdana"/>
          <w:b/>
        </w:rPr>
        <w:t xml:space="preserve"> More Executive Golden Parachutes</w:t>
      </w:r>
    </w:p>
    <w:p w14:paraId="521283D8" w14:textId="75DDAA18" w:rsidR="00D47CBB" w:rsidRDefault="00D47CBB" w:rsidP="00D47CBB">
      <w:pPr>
        <w:ind w:right="720"/>
        <w:rPr>
          <w:rFonts w:ascii="Calibri" w:hAnsi="Calibri"/>
          <w:sz w:val="22"/>
          <w:szCs w:val="22"/>
        </w:rPr>
      </w:pPr>
    </w:p>
    <w:p w14:paraId="2B58CF3C" w14:textId="58DFB2E1" w:rsidR="00D47CBB" w:rsidRDefault="007C218B" w:rsidP="00D47CBB">
      <w:pPr>
        <w:rPr>
          <w:rFonts w:ascii="Verdana" w:hAnsi="Verdana"/>
        </w:rPr>
      </w:pPr>
      <w:r>
        <w:rPr>
          <w:rFonts w:ascii="Verdana" w:hAnsi="Verdana"/>
        </w:rPr>
        <w:t>Cold Spring Harbor</w:t>
      </w:r>
      <w:r w:rsidR="00D47CBB" w:rsidRPr="007164CB">
        <w:rPr>
          <w:rFonts w:ascii="Verdana" w:hAnsi="Verdana"/>
        </w:rPr>
        <w:t xml:space="preserve">, NY </w:t>
      </w:r>
      <w:r w:rsidR="007164CB">
        <w:rPr>
          <w:rFonts w:ascii="Verdana" w:hAnsi="Verdana"/>
        </w:rPr>
        <w:t>–</w:t>
      </w:r>
      <w:r w:rsidR="00D47CBB" w:rsidRPr="007164CB">
        <w:rPr>
          <w:rFonts w:ascii="Verdana" w:hAnsi="Verdana"/>
        </w:rPr>
        <w:t xml:space="preserve"> </w:t>
      </w:r>
      <w:r w:rsidR="007164CB">
        <w:rPr>
          <w:rFonts w:ascii="Verdana" w:hAnsi="Verdana"/>
        </w:rPr>
        <w:t xml:space="preserve">March </w:t>
      </w:r>
      <w:r w:rsidR="00B63F45">
        <w:rPr>
          <w:rFonts w:ascii="Verdana" w:hAnsi="Verdana"/>
        </w:rPr>
        <w:t>21</w:t>
      </w:r>
      <w:r w:rsidR="00BD36BC">
        <w:rPr>
          <w:rFonts w:ascii="Verdana" w:hAnsi="Verdana"/>
        </w:rPr>
        <w:t>, 2016 -- Verizon Communications</w:t>
      </w:r>
      <w:r w:rsidR="00D47CBB" w:rsidRPr="007164CB">
        <w:rPr>
          <w:rFonts w:ascii="Verdana" w:hAnsi="Verdana"/>
        </w:rPr>
        <w:t xml:space="preserve"> (</w:t>
      </w:r>
      <w:r w:rsidR="00C45CE1">
        <w:rPr>
          <w:rFonts w:ascii="Verdana" w:hAnsi="Verdana"/>
        </w:rPr>
        <w:t>NYSE:</w:t>
      </w:r>
      <w:r w:rsidR="00D47CBB" w:rsidRPr="007164CB">
        <w:rPr>
          <w:rFonts w:ascii="Verdana" w:hAnsi="Verdana"/>
        </w:rPr>
        <w:t xml:space="preserve">VZ) retiree leaders are waging a </w:t>
      </w:r>
      <w:r w:rsidR="00D47CBB">
        <w:rPr>
          <w:rFonts w:ascii="Verdana" w:hAnsi="Verdana"/>
        </w:rPr>
        <w:t>new</w:t>
      </w:r>
      <w:r w:rsidR="00D47CBB" w:rsidRPr="007164CB">
        <w:rPr>
          <w:rFonts w:ascii="Verdana" w:hAnsi="Verdana"/>
        </w:rPr>
        <w:t xml:space="preserve"> proxy challenge to </w:t>
      </w:r>
      <w:r w:rsidR="00D47CBB">
        <w:rPr>
          <w:rFonts w:ascii="Verdana" w:hAnsi="Verdana"/>
        </w:rPr>
        <w:t>what they call</w:t>
      </w:r>
      <w:r w:rsidR="00D47CBB" w:rsidRPr="007164CB">
        <w:rPr>
          <w:rFonts w:ascii="Verdana" w:hAnsi="Verdana"/>
        </w:rPr>
        <w:t xml:space="preserve"> "an accounting gymnastics</w:t>
      </w:r>
      <w:r w:rsidR="00D80E3E">
        <w:rPr>
          <w:rFonts w:ascii="Verdana" w:hAnsi="Verdana"/>
        </w:rPr>
        <w:t xml:space="preserve"> loophole</w:t>
      </w:r>
      <w:r w:rsidR="00D47CBB" w:rsidRPr="007164CB">
        <w:rPr>
          <w:rFonts w:ascii="Verdana" w:hAnsi="Verdana"/>
        </w:rPr>
        <w:t xml:space="preserve">" in the mega telecom’s </w:t>
      </w:r>
      <w:r w:rsidR="00D47CBB">
        <w:rPr>
          <w:rFonts w:ascii="Verdana" w:hAnsi="Verdana"/>
        </w:rPr>
        <w:t>executive</w:t>
      </w:r>
      <w:r w:rsidR="00BD36BC">
        <w:rPr>
          <w:rFonts w:ascii="Verdana" w:hAnsi="Verdana"/>
        </w:rPr>
        <w:t xml:space="preserve"> golden parachute</w:t>
      </w:r>
      <w:r w:rsidR="00D47CBB" w:rsidRPr="007164CB">
        <w:rPr>
          <w:rFonts w:ascii="Verdana" w:hAnsi="Verdana"/>
        </w:rPr>
        <w:t xml:space="preserve"> rule.  </w:t>
      </w:r>
    </w:p>
    <w:p w14:paraId="0912FB81" w14:textId="77777777" w:rsidR="00D47CBB" w:rsidRDefault="00D47CBB" w:rsidP="00D47CBB">
      <w:pPr>
        <w:ind w:right="720"/>
        <w:rPr>
          <w:rFonts w:ascii="Calibri" w:hAnsi="Calibri"/>
          <w:sz w:val="22"/>
          <w:szCs w:val="22"/>
        </w:rPr>
      </w:pPr>
    </w:p>
    <w:p w14:paraId="38473B03" w14:textId="12AD5F59" w:rsidR="00D47CBB" w:rsidRPr="007164CB" w:rsidRDefault="00D47CBB" w:rsidP="00D47CBB">
      <w:pPr>
        <w:rPr>
          <w:rFonts w:ascii="Verdana" w:hAnsi="Verdana"/>
        </w:rPr>
      </w:pPr>
      <w:r>
        <w:rPr>
          <w:rFonts w:ascii="Verdana" w:hAnsi="Verdana"/>
        </w:rPr>
        <w:t>Retirees say the current loophole in the compensation</w:t>
      </w:r>
      <w:r w:rsidRPr="007164CB">
        <w:rPr>
          <w:rFonts w:ascii="Verdana" w:hAnsi="Verdana"/>
        </w:rPr>
        <w:t xml:space="preserve"> rule </w:t>
      </w:r>
      <w:r w:rsidR="00E60DBD">
        <w:rPr>
          <w:rFonts w:ascii="Verdana" w:hAnsi="Verdana"/>
        </w:rPr>
        <w:t>can</w:t>
      </w:r>
      <w:r>
        <w:rPr>
          <w:rFonts w:ascii="Verdana" w:hAnsi="Verdana"/>
        </w:rPr>
        <w:t xml:space="preserve"> allow Verizon’s</w:t>
      </w:r>
      <w:r w:rsidRPr="007164CB">
        <w:rPr>
          <w:rFonts w:ascii="Verdana" w:hAnsi="Verdana"/>
        </w:rPr>
        <w:t xml:space="preserve"> CEO and other top executives to walk away with </w:t>
      </w:r>
      <w:r>
        <w:rPr>
          <w:rFonts w:ascii="Verdana" w:hAnsi="Verdana"/>
        </w:rPr>
        <w:t xml:space="preserve">sky-high </w:t>
      </w:r>
      <w:r w:rsidRPr="007164CB">
        <w:rPr>
          <w:rFonts w:ascii="Verdana" w:hAnsi="Verdana"/>
        </w:rPr>
        <w:t xml:space="preserve">termination payouts </w:t>
      </w:r>
      <w:r>
        <w:rPr>
          <w:rFonts w:ascii="Verdana" w:hAnsi="Verdana"/>
        </w:rPr>
        <w:t>that could</w:t>
      </w:r>
      <w:r w:rsidR="00BD36BC">
        <w:rPr>
          <w:rFonts w:ascii="Verdana" w:hAnsi="Verdana"/>
        </w:rPr>
        <w:t xml:space="preserve"> individually</w:t>
      </w:r>
      <w:r>
        <w:rPr>
          <w:rFonts w:ascii="Verdana" w:hAnsi="Verdana"/>
        </w:rPr>
        <w:t xml:space="preserve"> reach</w:t>
      </w:r>
      <w:r w:rsidRPr="007164CB">
        <w:rPr>
          <w:rFonts w:ascii="Verdana" w:hAnsi="Verdana"/>
        </w:rPr>
        <w:t xml:space="preserve"> $37 million.</w:t>
      </w:r>
    </w:p>
    <w:p w14:paraId="1FAFAFF1" w14:textId="77777777" w:rsidR="00D47CBB" w:rsidRPr="007164CB" w:rsidRDefault="00D47CBB" w:rsidP="00D47CBB">
      <w:pPr>
        <w:rPr>
          <w:rFonts w:ascii="Calibri" w:hAnsi="Calibri"/>
          <w:sz w:val="22"/>
        </w:rPr>
      </w:pPr>
    </w:p>
    <w:p w14:paraId="31FD7FD3" w14:textId="625FD642" w:rsidR="00D47CBB" w:rsidRPr="007164CB" w:rsidRDefault="00D47CBB" w:rsidP="00D47CBB">
      <w:pPr>
        <w:rPr>
          <w:rFonts w:ascii="Verdana" w:hAnsi="Verdana"/>
        </w:rPr>
      </w:pPr>
      <w:r w:rsidRPr="007164CB">
        <w:rPr>
          <w:rFonts w:ascii="Verdana" w:hAnsi="Verdana"/>
        </w:rPr>
        <w:t xml:space="preserve">The </w:t>
      </w:r>
      <w:r>
        <w:rPr>
          <w:rFonts w:ascii="Verdana" w:hAnsi="Verdana"/>
        </w:rPr>
        <w:t>proxy challenge</w:t>
      </w:r>
      <w:r w:rsidRPr="007164CB">
        <w:rPr>
          <w:rFonts w:ascii="Verdana" w:hAnsi="Verdana"/>
        </w:rPr>
        <w:t xml:space="preserve"> has been introduced by Jack Cohen, Chairman of the 134,000</w:t>
      </w:r>
      <w:r>
        <w:rPr>
          <w:rFonts w:ascii="Verdana" w:hAnsi="Verdana"/>
        </w:rPr>
        <w:t>-</w:t>
      </w:r>
      <w:r w:rsidRPr="007164CB">
        <w:rPr>
          <w:rFonts w:ascii="Verdana" w:hAnsi="Verdana"/>
        </w:rPr>
        <w:t xml:space="preserve">member Association of </w:t>
      </w:r>
      <w:proofErr w:type="spellStart"/>
      <w:r w:rsidRPr="007164CB">
        <w:rPr>
          <w:rFonts w:ascii="Verdana" w:hAnsi="Verdana"/>
        </w:rPr>
        <w:t>BellTel</w:t>
      </w:r>
      <w:proofErr w:type="spellEnd"/>
      <w:r w:rsidRPr="007164CB">
        <w:rPr>
          <w:rFonts w:ascii="Verdana" w:hAnsi="Verdana"/>
        </w:rPr>
        <w:t xml:space="preserve"> Retirees Inc. </w:t>
      </w:r>
      <w:r w:rsidR="00A035BE" w:rsidRPr="00C45CE1">
        <w:rPr>
          <w:rFonts w:ascii="Verdana" w:hAnsi="Verdana"/>
          <w:sz w:val="20"/>
          <w:szCs w:val="20"/>
        </w:rPr>
        <w:t>(</w:t>
      </w:r>
      <w:hyperlink r:id="rId11" w:tgtFrame="_blank" w:history="1">
        <w:r w:rsidRPr="00C45CE1">
          <w:rPr>
            <w:rStyle w:val="Hyperlink"/>
            <w:rFonts w:ascii="Verdana" w:hAnsi="Verdana"/>
            <w:color w:val="auto"/>
            <w:sz w:val="20"/>
            <w:szCs w:val="20"/>
          </w:rPr>
          <w:t>www.belltelretirees.org</w:t>
        </w:r>
      </w:hyperlink>
      <w:r w:rsidR="00C45CE1">
        <w:rPr>
          <w:rStyle w:val="Hyperlink"/>
          <w:rFonts w:ascii="Verdana" w:hAnsi="Verdana"/>
          <w:color w:val="auto"/>
          <w:sz w:val="20"/>
          <w:szCs w:val="20"/>
        </w:rPr>
        <w:t>)</w:t>
      </w:r>
      <w:r w:rsidRPr="007164CB">
        <w:rPr>
          <w:rFonts w:ascii="Verdana" w:hAnsi="Verdana"/>
        </w:rPr>
        <w:t xml:space="preserve">.  The proposal would require </w:t>
      </w:r>
      <w:r w:rsidR="00BD36BC">
        <w:rPr>
          <w:rFonts w:ascii="Verdana" w:hAnsi="Verdana"/>
        </w:rPr>
        <w:t>Verizon</w:t>
      </w:r>
      <w:r w:rsidRPr="007164CB">
        <w:rPr>
          <w:rFonts w:ascii="Verdana" w:hAnsi="Verdana"/>
        </w:rPr>
        <w:t xml:space="preserve"> to seek shareholder approval for any new or renewed executive severance p</w:t>
      </w:r>
      <w:r w:rsidR="00BD36BC">
        <w:rPr>
          <w:rFonts w:ascii="Verdana" w:hAnsi="Verdana"/>
        </w:rPr>
        <w:t>ayment exceeding three times an</w:t>
      </w:r>
      <w:r w:rsidRPr="007164CB">
        <w:rPr>
          <w:rFonts w:ascii="Verdana" w:hAnsi="Verdana"/>
        </w:rPr>
        <w:t xml:space="preserve"> executive’s base salary, plus short term bonus.</w:t>
      </w:r>
    </w:p>
    <w:p w14:paraId="651DA23C" w14:textId="77777777" w:rsidR="00D47CBB" w:rsidRPr="007164CB" w:rsidRDefault="00D47CBB" w:rsidP="00D47CBB">
      <w:pPr>
        <w:rPr>
          <w:rFonts w:ascii="Verdana" w:hAnsi="Verdana"/>
        </w:rPr>
      </w:pPr>
      <w:r w:rsidRPr="007164CB">
        <w:rPr>
          <w:rFonts w:ascii="Verdana" w:hAnsi="Verdana"/>
        </w:rPr>
        <w:t xml:space="preserve">  </w:t>
      </w:r>
    </w:p>
    <w:p w14:paraId="3CE5B6CE" w14:textId="53EF01B5" w:rsidR="00D47CBB" w:rsidRPr="007164CB" w:rsidRDefault="00D47CBB" w:rsidP="00D47CBB">
      <w:pPr>
        <w:rPr>
          <w:rFonts w:ascii="Verdana" w:hAnsi="Verdana"/>
        </w:rPr>
      </w:pPr>
      <w:r w:rsidRPr="007164CB">
        <w:rPr>
          <w:rFonts w:ascii="Verdana" w:hAnsi="Verdana"/>
        </w:rPr>
        <w:t xml:space="preserve">The existing guideline was </w:t>
      </w:r>
      <w:r w:rsidR="00E60DBD">
        <w:rPr>
          <w:rFonts w:ascii="Verdana" w:hAnsi="Verdana"/>
        </w:rPr>
        <w:t xml:space="preserve">first </w:t>
      </w:r>
      <w:r w:rsidRPr="007164CB">
        <w:rPr>
          <w:rFonts w:ascii="Verdana" w:hAnsi="Verdana"/>
        </w:rPr>
        <w:t xml:space="preserve">put in place after 59% of Verizon shareholders approved an earlier golden parachute rule </w:t>
      </w:r>
      <w:r w:rsidR="0034597A">
        <w:rPr>
          <w:rFonts w:ascii="Verdana" w:hAnsi="Verdana"/>
        </w:rPr>
        <w:t xml:space="preserve">in </w:t>
      </w:r>
      <w:r w:rsidRPr="007164CB">
        <w:rPr>
          <w:rFonts w:ascii="Verdana" w:hAnsi="Verdana"/>
        </w:rPr>
        <w:t xml:space="preserve">2003, also proposed by </w:t>
      </w:r>
      <w:proofErr w:type="spellStart"/>
      <w:r w:rsidRPr="007164CB">
        <w:rPr>
          <w:rFonts w:ascii="Verdana" w:hAnsi="Verdana"/>
        </w:rPr>
        <w:t>BellTel</w:t>
      </w:r>
      <w:proofErr w:type="spellEnd"/>
      <w:r w:rsidRPr="007164CB">
        <w:rPr>
          <w:rFonts w:ascii="Verdana" w:hAnsi="Verdana"/>
        </w:rPr>
        <w:t>. The re</w:t>
      </w:r>
      <w:r w:rsidR="00BD36BC">
        <w:rPr>
          <w:rFonts w:ascii="Verdana" w:hAnsi="Verdana"/>
        </w:rPr>
        <w:t>tirees say that when Verizon’s b</w:t>
      </w:r>
      <w:r w:rsidRPr="007164CB">
        <w:rPr>
          <w:rFonts w:ascii="Verdana" w:hAnsi="Verdana"/>
        </w:rPr>
        <w:t>oard implemented that</w:t>
      </w:r>
      <w:r>
        <w:rPr>
          <w:rFonts w:ascii="Verdana" w:hAnsi="Verdana"/>
        </w:rPr>
        <w:t xml:space="preserve"> rule</w:t>
      </w:r>
      <w:r w:rsidRPr="007164CB">
        <w:rPr>
          <w:rFonts w:ascii="Verdana" w:hAnsi="Verdana"/>
        </w:rPr>
        <w:t xml:space="preserve">, it left a loophole excluding the accelerated vesting of unearned performance stock units (PSUs) and restricted stock (RSUs). </w:t>
      </w:r>
    </w:p>
    <w:p w14:paraId="53A2E2F6" w14:textId="77777777" w:rsidR="00D47CBB" w:rsidRPr="007164CB" w:rsidRDefault="00D47CBB" w:rsidP="00D47CBB">
      <w:pPr>
        <w:rPr>
          <w:rFonts w:ascii="Calibri" w:hAnsi="Calibri"/>
          <w:sz w:val="22"/>
        </w:rPr>
      </w:pPr>
    </w:p>
    <w:p w14:paraId="2AE9E750" w14:textId="4D7653C9" w:rsidR="00D47CBB" w:rsidRDefault="00E60DBD" w:rsidP="00D47CBB">
      <w:pPr>
        <w:rPr>
          <w:rFonts w:ascii="Verdana" w:hAnsi="Verdana"/>
        </w:rPr>
      </w:pPr>
      <w:r>
        <w:rPr>
          <w:rFonts w:ascii="Verdana" w:hAnsi="Verdana"/>
        </w:rPr>
        <w:t>Long</w:t>
      </w:r>
      <w:r w:rsidR="00D47CBB" w:rsidRPr="007164CB">
        <w:rPr>
          <w:rFonts w:ascii="Verdana" w:hAnsi="Verdana"/>
        </w:rPr>
        <w:t xml:space="preserve">-term equity </w:t>
      </w:r>
      <w:r>
        <w:rPr>
          <w:rFonts w:ascii="Verdana" w:hAnsi="Verdana"/>
        </w:rPr>
        <w:t xml:space="preserve">currently </w:t>
      </w:r>
      <w:r w:rsidR="00D47CBB" w:rsidRPr="007164CB">
        <w:rPr>
          <w:rFonts w:ascii="Verdana" w:hAnsi="Verdana"/>
        </w:rPr>
        <w:t>represents the lion’s share of exe</w:t>
      </w:r>
      <w:r>
        <w:rPr>
          <w:rFonts w:ascii="Verdana" w:hAnsi="Verdana"/>
        </w:rPr>
        <w:t>cutive compensation at Verizon</w:t>
      </w:r>
      <w:r w:rsidR="00D47CBB" w:rsidRPr="007164CB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so </w:t>
      </w:r>
      <w:r w:rsidR="00D47CBB" w:rsidRPr="007164CB">
        <w:rPr>
          <w:rFonts w:ascii="Verdana" w:hAnsi="Verdana"/>
        </w:rPr>
        <w:t>even golden parachute</w:t>
      </w:r>
      <w:r>
        <w:rPr>
          <w:rFonts w:ascii="Verdana" w:hAnsi="Verdana"/>
        </w:rPr>
        <w:t>s giving</w:t>
      </w:r>
      <w:r w:rsidR="00D47CBB" w:rsidRPr="007164CB">
        <w:rPr>
          <w:rFonts w:ascii="Verdana" w:hAnsi="Verdana"/>
        </w:rPr>
        <w:t xml:space="preserve"> six or seven times an executive's salary plus bonus </w:t>
      </w:r>
      <w:r w:rsidR="00BD36BC">
        <w:rPr>
          <w:rFonts w:ascii="Verdana" w:hAnsi="Verdana"/>
        </w:rPr>
        <w:t>may</w:t>
      </w:r>
      <w:r w:rsidR="00D47CBB" w:rsidRPr="007164CB">
        <w:rPr>
          <w:rFonts w:ascii="Verdana" w:hAnsi="Verdana"/>
        </w:rPr>
        <w:t xml:space="preserve"> not </w:t>
      </w:r>
      <w:r>
        <w:rPr>
          <w:rFonts w:ascii="Verdana" w:hAnsi="Verdana"/>
        </w:rPr>
        <w:t>violate</w:t>
      </w:r>
      <w:r w:rsidR="00D47CBB" w:rsidRPr="007164CB">
        <w:rPr>
          <w:rFonts w:ascii="Verdana" w:hAnsi="Verdana"/>
        </w:rPr>
        <w:t xml:space="preserve"> the </w:t>
      </w:r>
      <w:r>
        <w:rPr>
          <w:rFonts w:ascii="Verdana" w:hAnsi="Verdana"/>
        </w:rPr>
        <w:t>existing</w:t>
      </w:r>
      <w:r w:rsidR="00D47CBB" w:rsidRPr="007164CB">
        <w:rPr>
          <w:rFonts w:ascii="Verdana" w:hAnsi="Verdana"/>
        </w:rPr>
        <w:t xml:space="preserve"> shareholder approval requirement.</w:t>
      </w:r>
      <w:r w:rsidR="00BD36BC">
        <w:rPr>
          <w:rFonts w:ascii="Verdana" w:hAnsi="Verdana"/>
        </w:rPr>
        <w:t xml:space="preserve">  It is that loophole retirees seek to eliminate.</w:t>
      </w:r>
    </w:p>
    <w:p w14:paraId="6A5BA9C6" w14:textId="77777777" w:rsidR="00D47CBB" w:rsidRDefault="00D47CBB" w:rsidP="00D47CBB">
      <w:pPr>
        <w:ind w:right="720"/>
        <w:rPr>
          <w:rFonts w:ascii="Calibri" w:hAnsi="Calibri"/>
          <w:sz w:val="22"/>
          <w:szCs w:val="22"/>
        </w:rPr>
      </w:pPr>
    </w:p>
    <w:p w14:paraId="598CF63B" w14:textId="243FB6FD" w:rsidR="00D47CBB" w:rsidRPr="007164CB" w:rsidRDefault="00D47CBB" w:rsidP="00D47CBB">
      <w:pPr>
        <w:rPr>
          <w:rFonts w:ascii="Verdana" w:hAnsi="Verdana"/>
        </w:rPr>
      </w:pPr>
      <w:r>
        <w:rPr>
          <w:rFonts w:ascii="Verdana" w:hAnsi="Verdana"/>
        </w:rPr>
        <w:t>“We believe Verizon’s severance approval policy must be based on the total cost to shareholder</w:t>
      </w:r>
      <w:r w:rsidR="00300332">
        <w:rPr>
          <w:rFonts w:ascii="Verdana" w:hAnsi="Verdana"/>
        </w:rPr>
        <w:t>s</w:t>
      </w:r>
      <w:r>
        <w:rPr>
          <w:rFonts w:ascii="Verdana" w:hAnsi="Verdana"/>
        </w:rPr>
        <w:t xml:space="preserve"> of the termination payments,” said Mr. </w:t>
      </w:r>
      <w:r w:rsidRPr="007164CB">
        <w:rPr>
          <w:rFonts w:ascii="Verdana" w:hAnsi="Verdana"/>
        </w:rPr>
        <w:t>Cohen. “</w:t>
      </w:r>
      <w:r w:rsidR="00A24051">
        <w:rPr>
          <w:rFonts w:ascii="Verdana" w:hAnsi="Verdana"/>
        </w:rPr>
        <w:t xml:space="preserve">Our </w:t>
      </w:r>
      <w:r w:rsidRPr="007164CB">
        <w:rPr>
          <w:rFonts w:ascii="Verdana" w:hAnsi="Verdana"/>
        </w:rPr>
        <w:t xml:space="preserve">proposal closes a loophole that would allow millions in </w:t>
      </w:r>
      <w:r>
        <w:rPr>
          <w:rFonts w:ascii="Verdana" w:hAnsi="Verdana"/>
        </w:rPr>
        <w:t>payments without required shareholder approval. I</w:t>
      </w:r>
      <w:r w:rsidR="00A24051">
        <w:rPr>
          <w:rFonts w:ascii="Verdana" w:hAnsi="Verdana"/>
        </w:rPr>
        <w:t xml:space="preserve">t is, in effect an accounting gymnastics </w:t>
      </w:r>
      <w:r>
        <w:rPr>
          <w:rFonts w:ascii="Verdana" w:hAnsi="Verdana"/>
        </w:rPr>
        <w:t>loophole</w:t>
      </w:r>
      <w:r w:rsidR="00A24051">
        <w:rPr>
          <w:rFonts w:ascii="Verdana" w:hAnsi="Verdana"/>
        </w:rPr>
        <w:t xml:space="preserve"> to</w:t>
      </w:r>
      <w:r>
        <w:rPr>
          <w:rFonts w:ascii="Verdana" w:hAnsi="Verdana"/>
        </w:rPr>
        <w:t xml:space="preserve"> circumvent the intent of the proxy shareholders overwhelmingly adopted in 2003.” </w:t>
      </w:r>
      <w:r w:rsidRPr="007164CB">
        <w:rPr>
          <w:rFonts w:ascii="Verdana" w:hAnsi="Verdana"/>
        </w:rPr>
        <w:t xml:space="preserve"> </w:t>
      </w:r>
    </w:p>
    <w:p w14:paraId="0FCF2574" w14:textId="77777777" w:rsidR="00D47CBB" w:rsidRPr="007164CB" w:rsidRDefault="00D47CBB" w:rsidP="00D47CBB">
      <w:pPr>
        <w:rPr>
          <w:rFonts w:ascii="Verdana" w:hAnsi="Verdana"/>
        </w:rPr>
      </w:pPr>
    </w:p>
    <w:p w14:paraId="6252A878" w14:textId="66D10731" w:rsidR="00D47CBB" w:rsidRDefault="00D47CBB" w:rsidP="00D47CB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164CB">
        <w:rPr>
          <w:rFonts w:ascii="Verdana" w:hAnsi="Verdana"/>
        </w:rPr>
        <w:t>Under current compensation guidelines, if CEO Lowell McAdam is terminated without cause – regardless of whether there is a change in control of the corporation - he can receive nearly seven times</w:t>
      </w:r>
      <w:r w:rsidRPr="007164CB">
        <w:rPr>
          <w:rFonts w:ascii="Verdana" w:hAnsi="Verdana"/>
          <w:i/>
        </w:rPr>
        <w:t xml:space="preserve"> </w:t>
      </w:r>
      <w:r w:rsidRPr="007164CB">
        <w:rPr>
          <w:rFonts w:ascii="Verdana" w:hAnsi="Verdana"/>
        </w:rPr>
        <w:t xml:space="preserve">his base salary plus short-term bonus. Based upon Verizon’s 2015 proxy statement earnings disclosures, Mr. </w:t>
      </w:r>
      <w:r w:rsidRPr="007164CB">
        <w:rPr>
          <w:rFonts w:ascii="Verdana" w:hAnsi="Verdana"/>
        </w:rPr>
        <w:lastRenderedPageBreak/>
        <w:t>McAdam could receive an estimated $37.2 million in termination</w:t>
      </w:r>
      <w:r w:rsidR="00EC758E">
        <w:rPr>
          <w:rFonts w:ascii="Verdana" w:hAnsi="Verdana"/>
        </w:rPr>
        <w:t xml:space="preserve"> payment</w:t>
      </w:r>
      <w:r w:rsidR="001B2027">
        <w:rPr>
          <w:rFonts w:ascii="Verdana" w:hAnsi="Verdana"/>
        </w:rPr>
        <w:t xml:space="preserve"> (see 2015 proxy, page 61 </w:t>
      </w:r>
      <w:hyperlink r:id="rId12" w:tgtFrame="_blank" w:tooltip="" w:history="1">
        <w:r w:rsidR="00737177">
          <w:rPr>
            <w:rStyle w:val="Hyperlink"/>
            <w:rFonts w:ascii="Arial" w:hAnsi="Arial" w:cs="Arial"/>
            <w:color w:val="7FC9D9"/>
            <w:sz w:val="22"/>
            <w:szCs w:val="22"/>
            <w:u w:val="none"/>
            <w:shd w:val="clear" w:color="auto" w:fill="FFFFFF"/>
          </w:rPr>
          <w:t>http://vz.to/1RdosrO</w:t>
        </w:r>
      </w:hyperlink>
      <w:r w:rsidR="00737177">
        <w:rPr>
          <w:rFonts w:ascii="Arial" w:hAnsi="Arial" w:cs="Arial"/>
          <w:color w:val="000000"/>
          <w:sz w:val="22"/>
          <w:szCs w:val="22"/>
          <w:shd w:val="clear" w:color="auto" w:fill="FFFFFF"/>
        </w:rPr>
        <w:t>).</w:t>
      </w:r>
    </w:p>
    <w:p w14:paraId="7C0DC63A" w14:textId="77777777" w:rsidR="00737177" w:rsidRPr="007164CB" w:rsidRDefault="00737177" w:rsidP="00D47CBB">
      <w:pPr>
        <w:rPr>
          <w:rFonts w:ascii="Calibri" w:hAnsi="Calibri"/>
          <w:sz w:val="22"/>
        </w:rPr>
      </w:pPr>
      <w:bookmarkStart w:id="0" w:name="_GoBack"/>
      <w:bookmarkEnd w:id="0"/>
    </w:p>
    <w:p w14:paraId="1815F3FD" w14:textId="0405CAFC" w:rsidR="00D47CBB" w:rsidRPr="007164CB" w:rsidRDefault="00D47CBB" w:rsidP="00D47CBB">
      <w:pPr>
        <w:rPr>
          <w:rFonts w:ascii="Verdana" w:hAnsi="Verdana"/>
        </w:rPr>
      </w:pPr>
      <w:r w:rsidRPr="007164CB">
        <w:rPr>
          <w:rFonts w:ascii="Verdana" w:hAnsi="Verdana"/>
        </w:rPr>
        <w:t xml:space="preserve">In 2015, a </w:t>
      </w:r>
      <w:r w:rsidR="007164CB">
        <w:rPr>
          <w:rFonts w:ascii="Verdana" w:hAnsi="Verdana"/>
        </w:rPr>
        <w:t>similar</w:t>
      </w:r>
      <w:r w:rsidRPr="007164CB">
        <w:rPr>
          <w:rFonts w:ascii="Verdana" w:hAnsi="Verdana"/>
        </w:rPr>
        <w:t xml:space="preserve"> proposal by Mr. Cohen, gained nearly 3</w:t>
      </w:r>
      <w:r w:rsidR="007164CB">
        <w:rPr>
          <w:rFonts w:ascii="Verdana" w:hAnsi="Verdana"/>
        </w:rPr>
        <w:t xml:space="preserve">5% </w:t>
      </w:r>
      <w:r w:rsidR="00EC758E">
        <w:rPr>
          <w:rFonts w:ascii="Verdana" w:hAnsi="Verdana"/>
        </w:rPr>
        <w:t xml:space="preserve">shareowner </w:t>
      </w:r>
      <w:r w:rsidR="007164CB">
        <w:rPr>
          <w:rFonts w:ascii="Verdana" w:hAnsi="Verdana"/>
        </w:rPr>
        <w:t>support</w:t>
      </w:r>
      <w:r w:rsidR="00EC758E">
        <w:rPr>
          <w:rFonts w:ascii="Verdana" w:hAnsi="Verdana"/>
        </w:rPr>
        <w:t>.</w:t>
      </w:r>
      <w:r w:rsidRPr="007164CB">
        <w:rPr>
          <w:rFonts w:ascii="Verdana" w:hAnsi="Verdana"/>
        </w:rPr>
        <w:t xml:space="preserve">  </w:t>
      </w:r>
    </w:p>
    <w:p w14:paraId="18C627FC" w14:textId="04F89EE1" w:rsidR="007164CB" w:rsidRDefault="00D47CBB" w:rsidP="00D47CBB">
      <w:pPr>
        <w:rPr>
          <w:rFonts w:ascii="Verdana" w:hAnsi="Verdana"/>
        </w:rPr>
      </w:pPr>
      <w:r>
        <w:rPr>
          <w:rFonts w:ascii="Verdana" w:hAnsi="Verdana"/>
        </w:rPr>
        <w:t> </w:t>
      </w:r>
    </w:p>
    <w:p w14:paraId="50F3D748" w14:textId="39A10F73" w:rsidR="007164CB" w:rsidRDefault="00063FB9" w:rsidP="00D47CBB">
      <w:pPr>
        <w:rPr>
          <w:rFonts w:ascii="Verdana" w:hAnsi="Verdana"/>
        </w:rPr>
      </w:pPr>
      <w:proofErr w:type="spellStart"/>
      <w:r>
        <w:rPr>
          <w:rFonts w:ascii="Verdana" w:hAnsi="Verdana"/>
        </w:rPr>
        <w:t>BellTel</w:t>
      </w:r>
      <w:proofErr w:type="spellEnd"/>
      <w:r w:rsidR="007164CB">
        <w:rPr>
          <w:rFonts w:ascii="Verdana" w:hAnsi="Verdana"/>
        </w:rPr>
        <w:t xml:space="preserve"> proxy campaigns resulted in three wins at Verizon by majority vote and eight </w:t>
      </w:r>
      <w:r w:rsidR="00EC758E">
        <w:rPr>
          <w:rFonts w:ascii="Verdana" w:hAnsi="Verdana"/>
        </w:rPr>
        <w:t xml:space="preserve">more </w:t>
      </w:r>
      <w:r>
        <w:rPr>
          <w:rFonts w:ascii="Verdana" w:hAnsi="Verdana"/>
        </w:rPr>
        <w:t xml:space="preserve">negotiated </w:t>
      </w:r>
      <w:r w:rsidR="007164CB">
        <w:rPr>
          <w:rFonts w:ascii="Verdana" w:hAnsi="Verdana"/>
        </w:rPr>
        <w:t>changes to improve company bylaws and governance.</w:t>
      </w:r>
    </w:p>
    <w:p w14:paraId="43C8A991" w14:textId="77777777" w:rsidR="007164CB" w:rsidRPr="007164CB" w:rsidRDefault="007164CB" w:rsidP="00D47CBB">
      <w:pPr>
        <w:rPr>
          <w:rFonts w:ascii="Verdana" w:hAnsi="Verdana"/>
        </w:rPr>
      </w:pPr>
    </w:p>
    <w:p w14:paraId="6D15DD1D" w14:textId="1D02BEA0" w:rsidR="00D47CBB" w:rsidRPr="007164CB" w:rsidRDefault="00D47CBB" w:rsidP="00D47CBB">
      <w:pPr>
        <w:rPr>
          <w:rFonts w:ascii="Arial Narrow" w:hAnsi="Arial Narrow"/>
        </w:rPr>
      </w:pPr>
      <w:r w:rsidRPr="007164CB">
        <w:rPr>
          <w:rFonts w:ascii="Verdana" w:hAnsi="Verdana"/>
        </w:rPr>
        <w:t>“</w:t>
      </w:r>
      <w:proofErr w:type="spellStart"/>
      <w:r w:rsidRPr="007164CB">
        <w:rPr>
          <w:rFonts w:ascii="Verdana" w:hAnsi="Verdana"/>
        </w:rPr>
        <w:t>BellTel</w:t>
      </w:r>
      <w:proofErr w:type="spellEnd"/>
      <w:r w:rsidRPr="007164CB">
        <w:rPr>
          <w:rFonts w:ascii="Verdana" w:hAnsi="Verdana"/>
        </w:rPr>
        <w:t xml:space="preserve"> ha</w:t>
      </w:r>
      <w:r w:rsidR="00D80E3E">
        <w:rPr>
          <w:rFonts w:ascii="Verdana" w:hAnsi="Verdana"/>
        </w:rPr>
        <w:t>s</w:t>
      </w:r>
      <w:r w:rsidRPr="007164CB">
        <w:rPr>
          <w:rFonts w:ascii="Verdana" w:hAnsi="Verdana"/>
        </w:rPr>
        <w:t xml:space="preserve"> achieved what no other gro</w:t>
      </w:r>
      <w:r w:rsidR="007164CB">
        <w:rPr>
          <w:rFonts w:ascii="Verdana" w:hAnsi="Verdana"/>
        </w:rPr>
        <w:t>up has with its frequent proxy</w:t>
      </w:r>
      <w:r w:rsidRPr="007164CB">
        <w:rPr>
          <w:rFonts w:ascii="Verdana" w:hAnsi="Verdana"/>
        </w:rPr>
        <w:t xml:space="preserve"> wins,” said </w:t>
      </w:r>
      <w:proofErr w:type="spellStart"/>
      <w:r w:rsidRPr="007164CB">
        <w:rPr>
          <w:rFonts w:ascii="Verdana" w:hAnsi="Verdana"/>
        </w:rPr>
        <w:t>BellTel</w:t>
      </w:r>
      <w:proofErr w:type="spellEnd"/>
      <w:r w:rsidRPr="007164CB">
        <w:rPr>
          <w:rFonts w:ascii="Verdana" w:hAnsi="Verdana"/>
        </w:rPr>
        <w:t xml:space="preserve"> President Jack Brennan.  “Executive severance must be subject to standards of scrutiny. We are confident that responsible shareholders will agree.”</w:t>
      </w:r>
      <w:r w:rsidRPr="007164CB">
        <w:rPr>
          <w:rFonts w:ascii="Arial Narrow" w:hAnsi="Arial Narrow"/>
        </w:rPr>
        <w:t xml:space="preserve"> </w:t>
      </w:r>
    </w:p>
    <w:p w14:paraId="7AD093CC" w14:textId="77777777" w:rsidR="00D47CBB" w:rsidRPr="007164CB" w:rsidRDefault="00D47CBB" w:rsidP="00D47CBB">
      <w:pPr>
        <w:rPr>
          <w:rFonts w:ascii="Calibri" w:hAnsi="Calibri"/>
          <w:sz w:val="22"/>
        </w:rPr>
      </w:pPr>
    </w:p>
    <w:p w14:paraId="2EC2F977" w14:textId="0FDC4E99" w:rsidR="00D47CBB" w:rsidRDefault="00D47CBB" w:rsidP="00B3785F">
      <w:pPr>
        <w:rPr>
          <w:rFonts w:ascii="Verdana" w:hAnsi="Verdana"/>
        </w:rPr>
      </w:pPr>
      <w:r w:rsidRPr="007164CB">
        <w:rPr>
          <w:rFonts w:ascii="Verdana" w:hAnsi="Verdana"/>
        </w:rPr>
        <w:t xml:space="preserve">Verizon’s annual meeting is </w:t>
      </w:r>
      <w:r w:rsidR="00B3785F">
        <w:rPr>
          <w:rFonts w:ascii="Verdana" w:hAnsi="Verdana"/>
        </w:rPr>
        <w:t xml:space="preserve">8:30 am on Thursday, </w:t>
      </w:r>
      <w:r w:rsidRPr="007164CB">
        <w:rPr>
          <w:rFonts w:ascii="Verdana" w:hAnsi="Verdana"/>
        </w:rPr>
        <w:t>May</w:t>
      </w:r>
      <w:r w:rsidR="00266366">
        <w:rPr>
          <w:rFonts w:ascii="Verdana" w:hAnsi="Verdana"/>
        </w:rPr>
        <w:t xml:space="preserve"> </w:t>
      </w:r>
      <w:r w:rsidR="00B3785F">
        <w:rPr>
          <w:rFonts w:ascii="Verdana" w:hAnsi="Verdana"/>
        </w:rPr>
        <w:t>5</w:t>
      </w:r>
      <w:r w:rsidRPr="007164CB">
        <w:rPr>
          <w:rFonts w:ascii="Verdana" w:hAnsi="Verdana"/>
        </w:rPr>
        <w:t>, 2016</w:t>
      </w:r>
      <w:r w:rsidR="00B3785F">
        <w:rPr>
          <w:rFonts w:ascii="Verdana" w:hAnsi="Verdana"/>
        </w:rPr>
        <w:t xml:space="preserve"> at the </w:t>
      </w:r>
      <w:r w:rsidR="00B3785F" w:rsidRPr="00B3785F">
        <w:rPr>
          <w:rFonts w:ascii="Verdana" w:hAnsi="Verdana"/>
        </w:rPr>
        <w:t>Hotel Albuquerque at Old Town</w:t>
      </w:r>
      <w:r w:rsidR="00B3785F">
        <w:rPr>
          <w:rFonts w:ascii="Verdana" w:hAnsi="Verdana"/>
        </w:rPr>
        <w:t xml:space="preserve">, in </w:t>
      </w:r>
      <w:r w:rsidR="00B3785F" w:rsidRPr="00B3785F">
        <w:rPr>
          <w:rFonts w:ascii="Verdana" w:hAnsi="Verdana"/>
        </w:rPr>
        <w:t>Albuquerque, N</w:t>
      </w:r>
      <w:r w:rsidR="00B3785F">
        <w:rPr>
          <w:rFonts w:ascii="Verdana" w:hAnsi="Verdana"/>
        </w:rPr>
        <w:t>ew Mexico.</w:t>
      </w:r>
    </w:p>
    <w:p w14:paraId="08E9038E" w14:textId="77777777" w:rsidR="00190B80" w:rsidRDefault="00342E03"/>
    <w:p w14:paraId="62216C00" w14:textId="77777777" w:rsidR="00D73D3D" w:rsidRDefault="00D73D3D"/>
    <w:p w14:paraId="30A365F9" w14:textId="506598B4" w:rsidR="00D73D3D" w:rsidRPr="00D73D3D" w:rsidRDefault="00D73D3D" w:rsidP="00D73D3D">
      <w:pPr>
        <w:rPr>
          <w:rFonts w:ascii="Verdana" w:hAnsi="Verdana"/>
          <w:b/>
          <w:i/>
          <w:sz w:val="20"/>
          <w:szCs w:val="20"/>
        </w:rPr>
      </w:pPr>
      <w:r w:rsidRPr="00D73D3D">
        <w:rPr>
          <w:rFonts w:ascii="Verdana" w:hAnsi="Verdana"/>
          <w:i/>
          <w:sz w:val="20"/>
          <w:szCs w:val="20"/>
        </w:rPr>
        <w:t xml:space="preserve">The Association of </w:t>
      </w:r>
      <w:proofErr w:type="spellStart"/>
      <w:r w:rsidRPr="00D73D3D">
        <w:rPr>
          <w:rFonts w:ascii="Verdana" w:hAnsi="Verdana"/>
          <w:i/>
          <w:sz w:val="20"/>
          <w:szCs w:val="20"/>
        </w:rPr>
        <w:t>BellTel</w:t>
      </w:r>
      <w:proofErr w:type="spellEnd"/>
      <w:r w:rsidRPr="00D73D3D">
        <w:rPr>
          <w:rFonts w:ascii="Verdana" w:hAnsi="Verdana"/>
          <w:i/>
          <w:sz w:val="20"/>
          <w:szCs w:val="20"/>
        </w:rPr>
        <w:t xml:space="preserve"> Retirees is a 134,000 member non-profit advocacy group that works for the protection of retirees’ pensions and benefits of the following companies of the old Bell System.   They include:  </w:t>
      </w:r>
      <w:r w:rsidRPr="00D73D3D">
        <w:rPr>
          <w:rFonts w:ascii="Verdana" w:hAnsi="Verdana"/>
          <w:b/>
          <w:i/>
          <w:sz w:val="20"/>
          <w:szCs w:val="20"/>
        </w:rPr>
        <w:t xml:space="preserve">NYNEX, New York Telephone, New Jersey Bell and Bell Atlantic, Bell of Pennsylvania, </w:t>
      </w:r>
      <w:r w:rsidRPr="00D73D3D">
        <w:rPr>
          <w:rFonts w:ascii="Verdana" w:hAnsi="Verdana"/>
          <w:b/>
          <w:i/>
          <w:sz w:val="20"/>
          <w:szCs w:val="20"/>
          <w:shd w:val="clear" w:color="auto" w:fill="FFFFFF"/>
        </w:rPr>
        <w:t>Chesapeake and Potomac Telephone,</w:t>
      </w:r>
      <w:r w:rsidRPr="00D73D3D">
        <w:rPr>
          <w:rFonts w:ascii="Verdana" w:hAnsi="Verdana"/>
          <w:b/>
          <w:i/>
          <w:sz w:val="20"/>
          <w:szCs w:val="20"/>
        </w:rPr>
        <w:t xml:space="preserve"> Diamond State Telephone,</w:t>
      </w:r>
      <w:r w:rsidRPr="00D73D3D">
        <w:rPr>
          <w:rFonts w:ascii="Verdana" w:hAnsi="Verdana"/>
          <w:i/>
          <w:sz w:val="20"/>
          <w:szCs w:val="20"/>
        </w:rPr>
        <w:t xml:space="preserve"> </w:t>
      </w:r>
      <w:r w:rsidRPr="00D73D3D">
        <w:rPr>
          <w:rFonts w:ascii="Verdana" w:hAnsi="Verdana"/>
          <w:b/>
          <w:i/>
          <w:sz w:val="20"/>
          <w:szCs w:val="20"/>
        </w:rPr>
        <w:t>New England Telephone, MCI</w:t>
      </w:r>
      <w:r w:rsidRPr="00D73D3D">
        <w:rPr>
          <w:rFonts w:ascii="Verdana" w:hAnsi="Verdana"/>
          <w:i/>
          <w:sz w:val="20"/>
          <w:szCs w:val="20"/>
        </w:rPr>
        <w:t xml:space="preserve"> and </w:t>
      </w:r>
      <w:r w:rsidRPr="00D73D3D">
        <w:rPr>
          <w:rFonts w:ascii="Verdana" w:hAnsi="Verdana"/>
          <w:b/>
          <w:i/>
          <w:sz w:val="20"/>
          <w:szCs w:val="20"/>
        </w:rPr>
        <w:t>GTE</w:t>
      </w:r>
      <w:r w:rsidRPr="00D73D3D">
        <w:rPr>
          <w:rFonts w:ascii="Verdana" w:hAnsi="Verdana"/>
          <w:i/>
          <w:sz w:val="20"/>
          <w:szCs w:val="20"/>
        </w:rPr>
        <w:t xml:space="preserve">, as well as the Verizon spin-off </w:t>
      </w:r>
      <w:proofErr w:type="spellStart"/>
      <w:r w:rsidRPr="00D73D3D">
        <w:rPr>
          <w:rFonts w:ascii="Verdana" w:hAnsi="Verdana"/>
          <w:b/>
          <w:i/>
          <w:sz w:val="20"/>
          <w:szCs w:val="20"/>
        </w:rPr>
        <w:t>DexMedia</w:t>
      </w:r>
      <w:proofErr w:type="spellEnd"/>
      <w:r w:rsidRPr="00D73D3D">
        <w:rPr>
          <w:rFonts w:ascii="Verdana" w:hAnsi="Verdana"/>
          <w:b/>
          <w:i/>
          <w:sz w:val="20"/>
          <w:szCs w:val="20"/>
        </w:rPr>
        <w:t>.</w:t>
      </w:r>
    </w:p>
    <w:p w14:paraId="37392A5F" w14:textId="77777777" w:rsidR="00D73D3D" w:rsidRDefault="00D73D3D"/>
    <w:sectPr w:rsidR="00D73D3D" w:rsidSect="009A2A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DABBE" w14:textId="77777777" w:rsidR="00342E03" w:rsidRDefault="00342E03" w:rsidP="00A035BE">
      <w:r>
        <w:separator/>
      </w:r>
    </w:p>
  </w:endnote>
  <w:endnote w:type="continuationSeparator" w:id="0">
    <w:p w14:paraId="54B51197" w14:textId="77777777" w:rsidR="00342E03" w:rsidRDefault="00342E03" w:rsidP="00A0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BFE3C" w14:textId="77777777" w:rsidR="00A035BE" w:rsidRDefault="00A035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4D86" w14:textId="77777777" w:rsidR="00A035BE" w:rsidRDefault="00A035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0B22" w14:textId="77777777" w:rsidR="00A035BE" w:rsidRDefault="00A03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DB904" w14:textId="77777777" w:rsidR="00342E03" w:rsidRDefault="00342E03" w:rsidP="00A035BE">
      <w:r>
        <w:separator/>
      </w:r>
    </w:p>
  </w:footnote>
  <w:footnote w:type="continuationSeparator" w:id="0">
    <w:p w14:paraId="70C70D9B" w14:textId="77777777" w:rsidR="00342E03" w:rsidRDefault="00342E03" w:rsidP="00A0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8426A" w14:textId="77777777" w:rsidR="00A035BE" w:rsidRDefault="00A035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A3DAC" w14:textId="1E69AFEB" w:rsidR="00A035BE" w:rsidRDefault="00A035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7FCC7" w14:textId="77777777" w:rsidR="00A035BE" w:rsidRDefault="00A03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BB"/>
    <w:rsid w:val="00016DC8"/>
    <w:rsid w:val="00035F0E"/>
    <w:rsid w:val="00063FB9"/>
    <w:rsid w:val="001B2027"/>
    <w:rsid w:val="00207DE2"/>
    <w:rsid w:val="00266366"/>
    <w:rsid w:val="002B4313"/>
    <w:rsid w:val="00300332"/>
    <w:rsid w:val="00342E03"/>
    <w:rsid w:val="0034597A"/>
    <w:rsid w:val="003B4283"/>
    <w:rsid w:val="003E1820"/>
    <w:rsid w:val="00422723"/>
    <w:rsid w:val="00617AF1"/>
    <w:rsid w:val="007164CB"/>
    <w:rsid w:val="007337D1"/>
    <w:rsid w:val="00737177"/>
    <w:rsid w:val="00766BFC"/>
    <w:rsid w:val="007C218B"/>
    <w:rsid w:val="007C4674"/>
    <w:rsid w:val="008135F7"/>
    <w:rsid w:val="00982854"/>
    <w:rsid w:val="009A2AB8"/>
    <w:rsid w:val="00A035BE"/>
    <w:rsid w:val="00A16BEB"/>
    <w:rsid w:val="00A24051"/>
    <w:rsid w:val="00AF7026"/>
    <w:rsid w:val="00B01381"/>
    <w:rsid w:val="00B3785F"/>
    <w:rsid w:val="00B63F45"/>
    <w:rsid w:val="00BD36BC"/>
    <w:rsid w:val="00C07DF4"/>
    <w:rsid w:val="00C45CE1"/>
    <w:rsid w:val="00C828B5"/>
    <w:rsid w:val="00D47CBB"/>
    <w:rsid w:val="00D73D3D"/>
    <w:rsid w:val="00D802B0"/>
    <w:rsid w:val="00D80E3E"/>
    <w:rsid w:val="00E60DBD"/>
    <w:rsid w:val="00EC758E"/>
    <w:rsid w:val="00EF60FC"/>
    <w:rsid w:val="00F528FF"/>
    <w:rsid w:val="00F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BB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CBB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5B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03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5B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6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DB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DBD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BB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CBB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5B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03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5B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6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DB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DB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lobenewswire.com/Tracker?data=vUUzBNumY6hAqI0PBpcdakC__aDo-joA24rLpQuPXfIhKcx_Xs_Jl7PgOok_fV4eyXySOJyaiMlZNtuR9rFW-g==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ltelretire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carman@butlerassociate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butler@butlerassociates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F3B8-FDA4-4723-8750-3CA8809B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Associates</dc:creator>
  <cp:lastModifiedBy>Butler Associates</cp:lastModifiedBy>
  <cp:revision>2</cp:revision>
  <cp:lastPrinted>2016-03-21T15:50:00Z</cp:lastPrinted>
  <dcterms:created xsi:type="dcterms:W3CDTF">2016-03-21T17:55:00Z</dcterms:created>
  <dcterms:modified xsi:type="dcterms:W3CDTF">2016-03-21T17:55:00Z</dcterms:modified>
</cp:coreProperties>
</file>